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063B037E"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A954A6">
        <w:rPr>
          <w:rFonts w:cs="Arial"/>
          <w:b/>
          <w:sz w:val="24"/>
          <w:szCs w:val="24"/>
        </w:rPr>
        <w:t>2</w:t>
      </w:r>
      <w:r w:rsidR="00281AEB">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bookmarkStart w:id="2" w:name="_GoBack"/>
      <w:bookmarkEnd w:id="2"/>
      <w:r w:rsidR="006B29C5" w:rsidRPr="006B29C5">
        <w:rPr>
          <w:rFonts w:cs="Arial"/>
          <w:b/>
          <w:sz w:val="24"/>
          <w:szCs w:val="24"/>
        </w:rPr>
        <w:t>2203653</w:t>
      </w:r>
    </w:p>
    <w:p w14:paraId="31DCE6A5" w14:textId="4FBDC769"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A954A6">
        <w:rPr>
          <w:rFonts w:cs="Arial"/>
          <w:b/>
          <w:sz w:val="24"/>
          <w:szCs w:val="24"/>
          <w:lang w:eastAsia="zh-CN"/>
        </w:rPr>
        <w:t>February</w:t>
      </w:r>
      <w:r w:rsidR="00281AEB" w:rsidRPr="004E2857">
        <w:rPr>
          <w:rFonts w:cs="Arial"/>
          <w:b/>
          <w:sz w:val="24"/>
          <w:szCs w:val="24"/>
          <w:lang w:eastAsia="zh-CN"/>
        </w:rPr>
        <w:t xml:space="preserve"> </w:t>
      </w:r>
      <w:r w:rsidR="00A954A6">
        <w:rPr>
          <w:rFonts w:cs="Arial"/>
          <w:b/>
          <w:sz w:val="24"/>
          <w:szCs w:val="24"/>
          <w:lang w:eastAsia="zh-CN"/>
        </w:rPr>
        <w:t>21</w:t>
      </w:r>
      <w:r w:rsidR="00281AEB" w:rsidRPr="004E2857">
        <w:rPr>
          <w:rFonts w:cs="Arial"/>
          <w:b/>
          <w:sz w:val="24"/>
          <w:szCs w:val="24"/>
          <w:lang w:eastAsia="zh-CN"/>
        </w:rPr>
        <w:t>-</w:t>
      </w:r>
      <w:r w:rsidR="00A954A6">
        <w:rPr>
          <w:rFonts w:cs="Arial"/>
          <w:b/>
          <w:sz w:val="24"/>
          <w:szCs w:val="24"/>
          <w:lang w:eastAsia="zh-CN"/>
        </w:rPr>
        <w:t xml:space="preserve"> March 3</w:t>
      </w:r>
      <w:r w:rsidR="00281AEB" w:rsidRPr="004E2857">
        <w:rPr>
          <w:rFonts w:cs="Arial"/>
          <w:b/>
          <w:sz w:val="24"/>
          <w:szCs w:val="24"/>
          <w:lang w:eastAsia="zh-CN"/>
        </w:rPr>
        <w:t>, 2022</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3DD89DCB"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4A4F3B" w:rsidRPr="004A4F3B">
        <w:rPr>
          <w:rFonts w:cs="Arial"/>
          <w:sz w:val="22"/>
        </w:rPr>
        <w:t>REFSENS for 6GHz licensed band</w:t>
      </w:r>
    </w:p>
    <w:p w14:paraId="5E8A96B5" w14:textId="227DFD60" w:rsidR="00825624" w:rsidRDefault="00675C27" w:rsidP="00825624">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1E1F51" w:rsidRPr="001E1F51">
        <w:rPr>
          <w:rFonts w:ascii="Arial" w:hAnsi="Arial" w:cs="Arial"/>
          <w:sz w:val="22"/>
        </w:rPr>
        <w:t>9.3.3 UE RF requirements [NR_6 GHz</w:t>
      </w:r>
      <w:r w:rsidR="001E1F51">
        <w:rPr>
          <w:rFonts w:ascii="Arial" w:hAnsi="Arial" w:cs="Arial"/>
          <w:sz w:val="22"/>
        </w:rPr>
        <w:t>]</w:t>
      </w:r>
    </w:p>
    <w:p w14:paraId="2E5C6AEA" w14:textId="792D253F" w:rsidR="00675C27" w:rsidRPr="00A62DA7" w:rsidRDefault="00675C27" w:rsidP="00825624">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ED28C9">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7267657C" w14:textId="24A11213" w:rsidR="00842311" w:rsidRDefault="007C2743" w:rsidP="00825624">
      <w:pPr>
        <w:overflowPunct/>
        <w:autoSpaceDE/>
        <w:autoSpaceDN/>
        <w:adjustRightInd/>
        <w:spacing w:after="0"/>
        <w:jc w:val="both"/>
        <w:textAlignment w:val="auto"/>
        <w:rPr>
          <w:rFonts w:eastAsia="SimSun"/>
          <w:lang w:eastAsia="zh-CN"/>
        </w:rPr>
      </w:pPr>
      <w:r>
        <w:rPr>
          <w:rFonts w:eastAsia="SimSun"/>
          <w:lang w:eastAsia="zh-CN"/>
        </w:rPr>
        <w:t>I</w:t>
      </w:r>
      <w:r w:rsidR="004247E2">
        <w:rPr>
          <w:rFonts w:eastAsia="SimSun"/>
          <w:lang w:eastAsia="zh-CN"/>
        </w:rPr>
        <w:t xml:space="preserve">n </w:t>
      </w:r>
      <w:r w:rsidR="00530C06">
        <w:rPr>
          <w:rFonts w:eastAsia="SimSun"/>
          <w:lang w:eastAsia="zh-CN"/>
        </w:rPr>
        <w:t>R</w:t>
      </w:r>
      <w:r w:rsidR="00292F35">
        <w:rPr>
          <w:rFonts w:eastAsia="SimSun"/>
          <w:lang w:eastAsia="zh-CN"/>
        </w:rPr>
        <w:t>4#101b-e</w:t>
      </w:r>
      <w:r w:rsidR="00530C06">
        <w:rPr>
          <w:rFonts w:eastAsia="SimSun"/>
          <w:lang w:eastAsia="zh-CN"/>
        </w:rPr>
        <w:t xml:space="preserve">, </w:t>
      </w:r>
      <w:r w:rsidR="00292F35">
        <w:rPr>
          <w:rFonts w:eastAsia="SimSun"/>
          <w:lang w:eastAsia="zh-CN"/>
        </w:rPr>
        <w:t>UE requirements for 6GHz licensed band based on RCC input in [1] was discussed</w:t>
      </w:r>
      <w:r w:rsidR="00292F35">
        <w:rPr>
          <w:lang w:val="en-GB" w:eastAsia="zh-CN"/>
        </w:rPr>
        <w:t xml:space="preserve"> and some aspects were </w:t>
      </w:r>
      <w:r w:rsidR="004A4F3B">
        <w:rPr>
          <w:lang w:val="en-GB" w:eastAsia="zh-CN"/>
        </w:rPr>
        <w:t>captured</w:t>
      </w:r>
      <w:r w:rsidR="00292F35">
        <w:rPr>
          <w:lang w:val="en-GB" w:eastAsia="zh-CN"/>
        </w:rPr>
        <w:t xml:space="preserve"> in [2]. Notably, </w:t>
      </w:r>
      <w:r w:rsidR="004A4F3B">
        <w:rPr>
          <w:lang w:val="en-GB" w:eastAsia="zh-CN"/>
        </w:rPr>
        <w:t>REFSENS is discussed but not</w:t>
      </w:r>
      <w:r w:rsidR="00292F35">
        <w:rPr>
          <w:lang w:val="en-GB" w:eastAsia="zh-CN"/>
        </w:rPr>
        <w:t xml:space="preserve"> agreed. In this contribution, we discuss </w:t>
      </w:r>
      <w:r w:rsidR="004A4F3B">
        <w:rPr>
          <w:lang w:val="en-GB" w:eastAsia="zh-CN"/>
        </w:rPr>
        <w:t>the 6GHz licensed band REFSENS requirement by comparing it to existing &gt;2GHz NR bands and unlicensed band n46 and n96 cases</w:t>
      </w:r>
      <w:r w:rsidR="00292F35">
        <w:rPr>
          <w:lang w:val="en-GB" w:eastAsia="zh-CN"/>
        </w:rPr>
        <w:t>.</w:t>
      </w:r>
    </w:p>
    <w:p w14:paraId="58FA5DD0" w14:textId="7EE87625" w:rsidR="00530C06" w:rsidRDefault="00853ECB" w:rsidP="00530C06">
      <w:pPr>
        <w:pStyle w:val="Heading1"/>
        <w:pBdr>
          <w:top w:val="single" w:sz="12" w:space="5" w:color="auto"/>
        </w:pBdr>
        <w:jc w:val="both"/>
        <w:rPr>
          <w:rFonts w:eastAsia="SimSun"/>
          <w:lang w:eastAsia="zh-CN"/>
        </w:rPr>
      </w:pPr>
      <w:r>
        <w:rPr>
          <w:rFonts w:eastAsia="SimSun" w:hint="eastAsia"/>
          <w:lang w:eastAsia="zh-CN"/>
        </w:rPr>
        <w:t>Discussion</w:t>
      </w:r>
    </w:p>
    <w:p w14:paraId="61905671" w14:textId="5EE1D881" w:rsidR="004A4F3B" w:rsidRDefault="004A4F3B" w:rsidP="004A4F3B">
      <w:pPr>
        <w:rPr>
          <w:lang w:val="en-GB" w:eastAsia="zh-CN"/>
        </w:rPr>
      </w:pPr>
      <w:r>
        <w:rPr>
          <w:lang w:val="en-GB" w:eastAsia="zh-CN"/>
        </w:rPr>
        <w:t>In last meeting way forward [3] the following is captured on REFSENS:</w:t>
      </w:r>
    </w:p>
    <w:p w14:paraId="79511174" w14:textId="77777777" w:rsidR="004A4F3B" w:rsidRPr="00C46280" w:rsidRDefault="004A4F3B" w:rsidP="004A4F3B">
      <w:pPr>
        <w:spacing w:after="0"/>
        <w:rPr>
          <w:i/>
          <w:lang w:val="en-GB" w:eastAsia="zh-CN"/>
        </w:rPr>
      </w:pPr>
      <w:r w:rsidRPr="00C46280">
        <w:rPr>
          <w:i/>
          <w:lang w:val="en-GB" w:eastAsia="zh-CN"/>
        </w:rPr>
        <w:t>Companies are encouraged to provide further analysis on the UE NF for this frequency range and check the following options:</w:t>
      </w:r>
    </w:p>
    <w:p w14:paraId="36177844" w14:textId="77777777" w:rsidR="004A4F3B" w:rsidRPr="00C46280" w:rsidRDefault="004A4F3B" w:rsidP="004A4F3B">
      <w:pPr>
        <w:pStyle w:val="ListParagraph"/>
        <w:numPr>
          <w:ilvl w:val="1"/>
          <w:numId w:val="27"/>
        </w:numPr>
        <w:overflowPunct/>
        <w:autoSpaceDE/>
        <w:autoSpaceDN/>
        <w:adjustRightInd/>
        <w:spacing w:after="0" w:line="276" w:lineRule="auto"/>
        <w:ind w:left="1080"/>
        <w:contextualSpacing w:val="0"/>
        <w:textAlignment w:val="auto"/>
        <w:rPr>
          <w:b/>
          <w:bCs/>
          <w:i/>
          <w:lang w:eastAsia="zh-CN"/>
        </w:rPr>
      </w:pPr>
      <w:r w:rsidRPr="00C46280">
        <w:rPr>
          <w:b/>
          <w:bCs/>
          <w:i/>
          <w:lang w:eastAsia="zh-CN"/>
        </w:rPr>
        <w:t xml:space="preserve">Option 1: </w:t>
      </w:r>
      <w:r w:rsidRPr="00C46280">
        <w:rPr>
          <w:i/>
          <w:lang w:eastAsia="zh-CN"/>
        </w:rPr>
        <w:t>S</w:t>
      </w:r>
      <w:r w:rsidRPr="00C46280">
        <w:rPr>
          <w:i/>
          <w:color w:val="000000"/>
        </w:rPr>
        <w:t xml:space="preserve">ame REFSENS as n78 and n79 for the new band </w:t>
      </w:r>
    </w:p>
    <w:p w14:paraId="3D6D9C8C" w14:textId="77777777" w:rsidR="004A4F3B" w:rsidRPr="00C46280" w:rsidRDefault="004A4F3B" w:rsidP="004A4F3B">
      <w:pPr>
        <w:pStyle w:val="ListParagraph"/>
        <w:numPr>
          <w:ilvl w:val="1"/>
          <w:numId w:val="27"/>
        </w:numPr>
        <w:overflowPunct/>
        <w:autoSpaceDE/>
        <w:autoSpaceDN/>
        <w:adjustRightInd/>
        <w:spacing w:after="0" w:line="276" w:lineRule="auto"/>
        <w:ind w:left="1080"/>
        <w:contextualSpacing w:val="0"/>
        <w:textAlignment w:val="auto"/>
        <w:rPr>
          <w:i/>
          <w:lang w:eastAsia="zh-CN"/>
        </w:rPr>
      </w:pPr>
      <w:r w:rsidRPr="00C46280">
        <w:rPr>
          <w:b/>
          <w:bCs/>
          <w:i/>
          <w:lang w:eastAsia="zh-CN"/>
        </w:rPr>
        <w:t>Option 2:</w:t>
      </w:r>
      <w:r w:rsidRPr="00C46280">
        <w:rPr>
          <w:i/>
          <w:lang w:eastAsia="zh-CN"/>
        </w:rPr>
        <w:t xml:space="preserve"> Adopt 10.5 dB NF for 6GHz NR band. </w:t>
      </w:r>
    </w:p>
    <w:p w14:paraId="311B8A84" w14:textId="77777777" w:rsidR="004A4F3B" w:rsidRPr="00C46280" w:rsidRDefault="004A4F3B" w:rsidP="004A4F3B">
      <w:pPr>
        <w:pStyle w:val="ListParagraph"/>
        <w:numPr>
          <w:ilvl w:val="1"/>
          <w:numId w:val="27"/>
        </w:numPr>
        <w:overflowPunct/>
        <w:autoSpaceDE/>
        <w:autoSpaceDN/>
        <w:adjustRightInd/>
        <w:spacing w:after="0" w:line="276" w:lineRule="auto"/>
        <w:ind w:left="1080"/>
        <w:contextualSpacing w:val="0"/>
        <w:textAlignment w:val="auto"/>
        <w:rPr>
          <w:b/>
          <w:bCs/>
          <w:i/>
          <w:lang w:eastAsia="zh-CN"/>
        </w:rPr>
      </w:pPr>
      <w:r w:rsidRPr="00C46280">
        <w:rPr>
          <w:b/>
          <w:bCs/>
          <w:i/>
          <w:lang w:eastAsia="zh-CN"/>
        </w:rPr>
        <w:t xml:space="preserve">Option 3: </w:t>
      </w:r>
      <w:r w:rsidRPr="00C46280">
        <w:rPr>
          <w:i/>
          <w:lang w:eastAsia="zh-CN"/>
        </w:rPr>
        <w:t>FFS</w:t>
      </w:r>
      <w:r w:rsidRPr="00C46280">
        <w:rPr>
          <w:b/>
          <w:bCs/>
          <w:i/>
          <w:lang w:eastAsia="zh-CN"/>
        </w:rPr>
        <w:t xml:space="preserve"> </w:t>
      </w:r>
    </w:p>
    <w:p w14:paraId="161C800C" w14:textId="77777777" w:rsidR="004A4F3B" w:rsidRDefault="004A4F3B" w:rsidP="004A4F3B">
      <w:pPr>
        <w:spacing w:after="0"/>
        <w:rPr>
          <w:rFonts w:eastAsia="Arial"/>
          <w:lang w:eastAsia="zh-CN"/>
        </w:rPr>
      </w:pPr>
    </w:p>
    <w:p w14:paraId="193BB996" w14:textId="00E89F74" w:rsidR="004A4F3B" w:rsidRDefault="004A4F3B" w:rsidP="004A4F3B">
      <w:pPr>
        <w:rPr>
          <w:rFonts w:eastAsia="Arial"/>
          <w:lang w:eastAsia="zh-CN"/>
        </w:rPr>
      </w:pPr>
      <w:r>
        <w:rPr>
          <w:rFonts w:eastAsia="Arial"/>
          <w:lang w:eastAsia="zh-CN"/>
        </w:rPr>
        <w:t>It should be first noted that the TR [3] on the &gt;6GHz bands had no consensus on the applicable REFSENS</w:t>
      </w:r>
      <w:r w:rsidR="00C9251A">
        <w:rPr>
          <w:rFonts w:eastAsia="Arial"/>
          <w:lang w:eastAsia="zh-CN"/>
        </w:rPr>
        <w:t xml:space="preserve">, under chapter 7.2.1, </w:t>
      </w:r>
      <w:r w:rsidR="00C9251A" w:rsidRPr="00C9251A">
        <w:rPr>
          <w:rFonts w:eastAsia="Arial"/>
          <w:lang w:eastAsia="zh-CN"/>
        </w:rPr>
        <w:t>Noise figure</w:t>
      </w:r>
      <w:r w:rsidR="00C9251A">
        <w:rPr>
          <w:rFonts w:eastAsia="Arial"/>
          <w:lang w:eastAsia="zh-CN"/>
        </w:rPr>
        <w:t>, the following is given</w:t>
      </w:r>
      <w:r>
        <w:rPr>
          <w:rFonts w:eastAsia="Arial"/>
          <w:lang w:eastAsia="zh-CN"/>
        </w:rPr>
        <w:t>:</w:t>
      </w:r>
    </w:p>
    <w:p w14:paraId="47AC1295" w14:textId="77777777" w:rsidR="00C9251A" w:rsidRPr="00C9251A" w:rsidRDefault="00C9251A" w:rsidP="00C9251A">
      <w:pPr>
        <w:rPr>
          <w:i/>
        </w:rPr>
      </w:pPr>
      <w:r w:rsidRPr="00C9251A">
        <w:rPr>
          <w:i/>
        </w:rPr>
        <w:t xml:space="preserve">The noise figure of 9 dB is the baseline assumption and 13 dB is the optional assumption for co-existence study for 6425 – 7125 MHz and 10 - 10.5 GHz. </w:t>
      </w:r>
    </w:p>
    <w:p w14:paraId="2F51C143" w14:textId="77777777" w:rsidR="00C9251A" w:rsidRPr="00C9251A" w:rsidRDefault="00C9251A" w:rsidP="00C9251A">
      <w:pPr>
        <w:rPr>
          <w:i/>
        </w:rPr>
      </w:pPr>
      <w:r w:rsidRPr="00C9251A">
        <w:rPr>
          <w:i/>
        </w:rPr>
        <w:t>A noise figure in the [9, 13] dB interval was finally agreed for reporting to ITU WP5D sharing studies. Note that the noise figure value in [9, 13] dB interval should be used only for WP5D response. The actual noise figure to be used to define RF requirements should be further studied in the WI phase.</w:t>
      </w:r>
    </w:p>
    <w:p w14:paraId="50EDD4A3" w14:textId="336F1395" w:rsidR="004A4F3B" w:rsidRDefault="00C9251A" w:rsidP="004A4F3B">
      <w:pPr>
        <w:rPr>
          <w:rFonts w:eastAsia="Arial"/>
          <w:lang w:eastAsia="zh-CN"/>
        </w:rPr>
      </w:pPr>
      <w:r>
        <w:rPr>
          <w:rFonts w:eastAsia="Arial"/>
          <w:lang w:eastAsia="zh-CN"/>
        </w:rPr>
        <w:t xml:space="preserve">Obviously this 4dB range that starts from the initial LTE band 1 (2GHz) assumption reflects the fact that there was no agreement </w:t>
      </w:r>
      <w:r w:rsidR="00F05E71">
        <w:rPr>
          <w:rFonts w:eastAsia="Arial"/>
          <w:lang w:eastAsia="zh-CN"/>
        </w:rPr>
        <w:t xml:space="preserve">more </w:t>
      </w:r>
      <w:r>
        <w:rPr>
          <w:rFonts w:eastAsia="Arial"/>
          <w:lang w:eastAsia="zh-CN"/>
        </w:rPr>
        <w:t>than anything else</w:t>
      </w:r>
      <w:r w:rsidR="00F05E71">
        <w:rPr>
          <w:rFonts w:eastAsia="Arial"/>
          <w:lang w:eastAsia="zh-CN"/>
        </w:rPr>
        <w:t>.</w:t>
      </w:r>
    </w:p>
    <w:p w14:paraId="5FB2BED3" w14:textId="22D43F51" w:rsidR="005F2D4C" w:rsidRPr="005F2D4C" w:rsidRDefault="00C9251A" w:rsidP="005F2D4C">
      <w:pPr>
        <w:pStyle w:val="Heading2"/>
        <w:spacing w:after="240"/>
        <w:rPr>
          <w:lang w:eastAsia="zh-CN"/>
        </w:rPr>
      </w:pPr>
      <w:r>
        <w:rPr>
          <w:lang w:eastAsia="zh-CN"/>
        </w:rPr>
        <w:t>REFSENS</w:t>
      </w:r>
      <w:r w:rsidR="005F2D4C">
        <w:rPr>
          <w:lang w:eastAsia="zh-CN"/>
        </w:rPr>
        <w:t xml:space="preserve"> comparison</w:t>
      </w:r>
      <w:r>
        <w:rPr>
          <w:lang w:eastAsia="zh-CN"/>
        </w:rPr>
        <w:t>s</w:t>
      </w:r>
    </w:p>
    <w:p w14:paraId="6856CEB3" w14:textId="71EBD27F" w:rsidR="00873A54" w:rsidRDefault="00292F35" w:rsidP="00530C06">
      <w:pPr>
        <w:rPr>
          <w:rFonts w:eastAsia="Yu Mincho"/>
          <w:lang w:eastAsia="ja-JP"/>
        </w:rPr>
      </w:pPr>
      <w:r>
        <w:rPr>
          <w:rFonts w:eastAsia="Yu Mincho"/>
          <w:lang w:eastAsia="ja-JP"/>
        </w:rPr>
        <w:t xml:space="preserve">In </w:t>
      </w:r>
      <w:r w:rsidR="00C9251A">
        <w:rPr>
          <w:rFonts w:eastAsia="Yu Mincho"/>
          <w:lang w:eastAsia="ja-JP"/>
        </w:rPr>
        <w:t>order to bring some technical insight it is better to look at specified REFSENS in the 2GHz to 7GHz range and look for potential scaling. This is what is shown in Table 1.</w:t>
      </w:r>
    </w:p>
    <w:p w14:paraId="5BFF30FC" w14:textId="3781C2E7" w:rsidR="00C9251A" w:rsidRDefault="005F2D4C" w:rsidP="00C9251A">
      <w:pPr>
        <w:pStyle w:val="Caption"/>
        <w:keepNext/>
        <w:jc w:val="center"/>
      </w:pPr>
      <w:r>
        <w:t xml:space="preserve">Table </w:t>
      </w:r>
      <w:r w:rsidR="00A14D29">
        <w:fldChar w:fldCharType="begin"/>
      </w:r>
      <w:r w:rsidR="00A14D29">
        <w:instrText xml:space="preserve"> SEQ Table \* ARABIC </w:instrText>
      </w:r>
      <w:r w:rsidR="00A14D29">
        <w:fldChar w:fldCharType="separate"/>
      </w:r>
      <w:r w:rsidR="009224C7">
        <w:rPr>
          <w:noProof/>
        </w:rPr>
        <w:t>1</w:t>
      </w:r>
      <w:r w:rsidR="00A14D29">
        <w:rPr>
          <w:noProof/>
        </w:rPr>
        <w:fldChar w:fldCharType="end"/>
      </w:r>
      <w:r>
        <w:t xml:space="preserve">: </w:t>
      </w:r>
      <w:r w:rsidR="00C9251A">
        <w:t>C</w:t>
      </w:r>
      <w:r>
        <w:t xml:space="preserve">omparison of </w:t>
      </w:r>
      <w:r w:rsidR="00C9251A">
        <w:t>20MH</w:t>
      </w:r>
      <w:r w:rsidR="00C46280">
        <w:t>z</w:t>
      </w:r>
      <w:r w:rsidR="00C9251A">
        <w:t xml:space="preserve"> REFSEN for different NR bands in the 2 to 7GHz range</w:t>
      </w:r>
    </w:p>
    <w:tbl>
      <w:tblPr>
        <w:tblW w:w="6534" w:type="dxa"/>
        <w:jc w:val="center"/>
        <w:tblInd w:w="93" w:type="dxa"/>
        <w:tblLook w:val="04A0" w:firstRow="1" w:lastRow="0" w:firstColumn="1" w:lastColumn="0" w:noHBand="0" w:noVBand="1"/>
      </w:tblPr>
      <w:tblGrid>
        <w:gridCol w:w="920"/>
        <w:gridCol w:w="581"/>
        <w:gridCol w:w="614"/>
        <w:gridCol w:w="664"/>
        <w:gridCol w:w="880"/>
        <w:gridCol w:w="536"/>
        <w:gridCol w:w="2339"/>
      </w:tblGrid>
      <w:tr w:rsidR="00C9251A" w:rsidRPr="00C9251A" w14:paraId="3817BAD7" w14:textId="77777777" w:rsidTr="00C9251A">
        <w:trPr>
          <w:trHeight w:val="56"/>
          <w:jc w:val="center"/>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28BDA8"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Band</w:t>
            </w:r>
          </w:p>
        </w:tc>
        <w:tc>
          <w:tcPr>
            <w:tcW w:w="581" w:type="dxa"/>
            <w:tcBorders>
              <w:top w:val="single" w:sz="4" w:space="0" w:color="auto"/>
              <w:left w:val="nil"/>
              <w:bottom w:val="single" w:sz="4" w:space="0" w:color="auto"/>
              <w:right w:val="single" w:sz="4" w:space="0" w:color="auto"/>
            </w:tcBorders>
            <w:shd w:val="clear" w:color="auto" w:fill="auto"/>
            <w:noWrap/>
            <w:vAlign w:val="bottom"/>
            <w:hideMark/>
          </w:tcPr>
          <w:p w14:paraId="27009D38"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Flow</w:t>
            </w:r>
          </w:p>
        </w:tc>
        <w:tc>
          <w:tcPr>
            <w:tcW w:w="614" w:type="dxa"/>
            <w:tcBorders>
              <w:top w:val="single" w:sz="4" w:space="0" w:color="auto"/>
              <w:left w:val="nil"/>
              <w:bottom w:val="single" w:sz="4" w:space="0" w:color="auto"/>
              <w:right w:val="single" w:sz="4" w:space="0" w:color="auto"/>
            </w:tcBorders>
            <w:shd w:val="clear" w:color="auto" w:fill="auto"/>
            <w:noWrap/>
            <w:vAlign w:val="bottom"/>
            <w:hideMark/>
          </w:tcPr>
          <w:p w14:paraId="5D9C26E3"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proofErr w:type="spellStart"/>
            <w:r w:rsidRPr="00C9251A">
              <w:rPr>
                <w:rFonts w:asciiTheme="minorHAnsi" w:hAnsiTheme="minorHAnsi"/>
                <w:color w:val="000000"/>
                <w:sz w:val="18"/>
                <w:szCs w:val="18"/>
              </w:rPr>
              <w:t>Fhigh</w:t>
            </w:r>
            <w:proofErr w:type="spellEnd"/>
          </w:p>
        </w:tc>
        <w:tc>
          <w:tcPr>
            <w:tcW w:w="664" w:type="dxa"/>
            <w:tcBorders>
              <w:top w:val="single" w:sz="4" w:space="0" w:color="auto"/>
              <w:left w:val="nil"/>
              <w:bottom w:val="single" w:sz="4" w:space="0" w:color="auto"/>
              <w:right w:val="single" w:sz="4" w:space="0" w:color="auto"/>
            </w:tcBorders>
            <w:shd w:val="clear" w:color="auto" w:fill="auto"/>
            <w:noWrap/>
            <w:vAlign w:val="bottom"/>
            <w:hideMark/>
          </w:tcPr>
          <w:p w14:paraId="4A8CBF7C"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%BW</w:t>
            </w:r>
          </w:p>
        </w:tc>
        <w:tc>
          <w:tcPr>
            <w:tcW w:w="880" w:type="dxa"/>
            <w:tcBorders>
              <w:top w:val="single" w:sz="4" w:space="0" w:color="auto"/>
              <w:left w:val="nil"/>
              <w:bottom w:val="single" w:sz="4" w:space="0" w:color="auto"/>
              <w:right w:val="single" w:sz="4" w:space="0" w:color="auto"/>
            </w:tcBorders>
            <w:shd w:val="clear" w:color="auto" w:fill="auto"/>
            <w:vAlign w:val="bottom"/>
            <w:hideMark/>
          </w:tcPr>
          <w:p w14:paraId="149ADCE7"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20MHz</w:t>
            </w:r>
            <w:r w:rsidRPr="00C9251A">
              <w:rPr>
                <w:rFonts w:asciiTheme="minorHAnsi" w:hAnsiTheme="minorHAnsi"/>
                <w:color w:val="000000"/>
                <w:sz w:val="18"/>
                <w:szCs w:val="18"/>
              </w:rPr>
              <w:br/>
              <w:t>REFSENS</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14:paraId="14195021"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NF</w:t>
            </w:r>
          </w:p>
        </w:tc>
        <w:tc>
          <w:tcPr>
            <w:tcW w:w="2339" w:type="dxa"/>
            <w:tcBorders>
              <w:top w:val="single" w:sz="4" w:space="0" w:color="auto"/>
              <w:left w:val="nil"/>
              <w:bottom w:val="single" w:sz="4" w:space="0" w:color="auto"/>
              <w:right w:val="single" w:sz="4" w:space="0" w:color="auto"/>
            </w:tcBorders>
            <w:shd w:val="clear" w:color="auto" w:fill="auto"/>
            <w:noWrap/>
            <w:vAlign w:val="bottom"/>
            <w:hideMark/>
          </w:tcPr>
          <w:p w14:paraId="2A23BD09"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comment</w:t>
            </w:r>
          </w:p>
        </w:tc>
      </w:tr>
      <w:tr w:rsidR="00C9251A" w:rsidRPr="00C9251A" w14:paraId="3B716DA3" w14:textId="77777777" w:rsidTr="00C9251A">
        <w:trPr>
          <w:trHeight w:val="56"/>
          <w:jc w:val="center"/>
        </w:trPr>
        <w:tc>
          <w:tcPr>
            <w:tcW w:w="920" w:type="dxa"/>
            <w:tcBorders>
              <w:top w:val="nil"/>
              <w:left w:val="single" w:sz="4" w:space="0" w:color="auto"/>
              <w:bottom w:val="single" w:sz="4" w:space="0" w:color="auto"/>
              <w:right w:val="single" w:sz="4" w:space="0" w:color="auto"/>
            </w:tcBorders>
            <w:shd w:val="clear" w:color="auto" w:fill="auto"/>
            <w:noWrap/>
            <w:vAlign w:val="bottom"/>
            <w:hideMark/>
          </w:tcPr>
          <w:p w14:paraId="0167A945"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n1</w:t>
            </w:r>
          </w:p>
        </w:tc>
        <w:tc>
          <w:tcPr>
            <w:tcW w:w="581" w:type="dxa"/>
            <w:tcBorders>
              <w:top w:val="nil"/>
              <w:left w:val="nil"/>
              <w:bottom w:val="single" w:sz="4" w:space="0" w:color="auto"/>
              <w:right w:val="single" w:sz="4" w:space="0" w:color="auto"/>
            </w:tcBorders>
            <w:shd w:val="clear" w:color="auto" w:fill="auto"/>
            <w:noWrap/>
            <w:vAlign w:val="bottom"/>
            <w:hideMark/>
          </w:tcPr>
          <w:p w14:paraId="00D56368"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2110</w:t>
            </w:r>
          </w:p>
        </w:tc>
        <w:tc>
          <w:tcPr>
            <w:tcW w:w="614" w:type="dxa"/>
            <w:tcBorders>
              <w:top w:val="nil"/>
              <w:left w:val="nil"/>
              <w:bottom w:val="single" w:sz="4" w:space="0" w:color="auto"/>
              <w:right w:val="single" w:sz="4" w:space="0" w:color="auto"/>
            </w:tcBorders>
            <w:shd w:val="clear" w:color="auto" w:fill="auto"/>
            <w:noWrap/>
            <w:vAlign w:val="bottom"/>
            <w:hideMark/>
          </w:tcPr>
          <w:p w14:paraId="15534E1F"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2170</w:t>
            </w:r>
          </w:p>
        </w:tc>
        <w:tc>
          <w:tcPr>
            <w:tcW w:w="664" w:type="dxa"/>
            <w:tcBorders>
              <w:top w:val="nil"/>
              <w:left w:val="nil"/>
              <w:bottom w:val="single" w:sz="4" w:space="0" w:color="auto"/>
              <w:right w:val="single" w:sz="4" w:space="0" w:color="auto"/>
            </w:tcBorders>
            <w:shd w:val="clear" w:color="auto" w:fill="auto"/>
            <w:noWrap/>
            <w:vAlign w:val="bottom"/>
            <w:hideMark/>
          </w:tcPr>
          <w:p w14:paraId="37E8C939"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1.4%</w:t>
            </w:r>
          </w:p>
        </w:tc>
        <w:tc>
          <w:tcPr>
            <w:tcW w:w="880" w:type="dxa"/>
            <w:tcBorders>
              <w:top w:val="nil"/>
              <w:left w:val="nil"/>
              <w:bottom w:val="single" w:sz="4" w:space="0" w:color="auto"/>
              <w:right w:val="single" w:sz="4" w:space="0" w:color="auto"/>
            </w:tcBorders>
            <w:shd w:val="clear" w:color="auto" w:fill="auto"/>
            <w:vAlign w:val="bottom"/>
            <w:hideMark/>
          </w:tcPr>
          <w:p w14:paraId="787C659C"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-93.8</w:t>
            </w:r>
          </w:p>
        </w:tc>
        <w:tc>
          <w:tcPr>
            <w:tcW w:w="536" w:type="dxa"/>
            <w:tcBorders>
              <w:top w:val="nil"/>
              <w:left w:val="nil"/>
              <w:bottom w:val="single" w:sz="4" w:space="0" w:color="auto"/>
              <w:right w:val="single" w:sz="4" w:space="0" w:color="auto"/>
            </w:tcBorders>
            <w:shd w:val="clear" w:color="auto" w:fill="auto"/>
            <w:noWrap/>
            <w:vAlign w:val="bottom"/>
            <w:hideMark/>
          </w:tcPr>
          <w:p w14:paraId="5753085B"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8.9</w:t>
            </w:r>
          </w:p>
        </w:tc>
        <w:tc>
          <w:tcPr>
            <w:tcW w:w="2339" w:type="dxa"/>
            <w:tcBorders>
              <w:top w:val="nil"/>
              <w:left w:val="nil"/>
              <w:bottom w:val="single" w:sz="4" w:space="0" w:color="auto"/>
              <w:right w:val="single" w:sz="4" w:space="0" w:color="auto"/>
            </w:tcBorders>
            <w:shd w:val="clear" w:color="auto" w:fill="auto"/>
            <w:noWrap/>
            <w:vAlign w:val="bottom"/>
            <w:hideMark/>
          </w:tcPr>
          <w:p w14:paraId="27748079"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baseline</w:t>
            </w:r>
          </w:p>
        </w:tc>
      </w:tr>
      <w:tr w:rsidR="00C9251A" w:rsidRPr="00C9251A" w14:paraId="407A81D3" w14:textId="77777777" w:rsidTr="00C9251A">
        <w:trPr>
          <w:trHeight w:val="56"/>
          <w:jc w:val="center"/>
        </w:trPr>
        <w:tc>
          <w:tcPr>
            <w:tcW w:w="920" w:type="dxa"/>
            <w:tcBorders>
              <w:top w:val="nil"/>
              <w:left w:val="single" w:sz="4" w:space="0" w:color="auto"/>
              <w:bottom w:val="single" w:sz="4" w:space="0" w:color="auto"/>
              <w:right w:val="single" w:sz="4" w:space="0" w:color="auto"/>
            </w:tcBorders>
            <w:shd w:val="clear" w:color="auto" w:fill="auto"/>
            <w:noWrap/>
            <w:vAlign w:val="bottom"/>
            <w:hideMark/>
          </w:tcPr>
          <w:p w14:paraId="0987CB3A"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n40</w:t>
            </w:r>
          </w:p>
        </w:tc>
        <w:tc>
          <w:tcPr>
            <w:tcW w:w="581" w:type="dxa"/>
            <w:tcBorders>
              <w:top w:val="nil"/>
              <w:left w:val="nil"/>
              <w:bottom w:val="single" w:sz="4" w:space="0" w:color="auto"/>
              <w:right w:val="single" w:sz="4" w:space="0" w:color="auto"/>
            </w:tcBorders>
            <w:shd w:val="clear" w:color="auto" w:fill="auto"/>
            <w:noWrap/>
            <w:vAlign w:val="bottom"/>
            <w:hideMark/>
          </w:tcPr>
          <w:p w14:paraId="398C2EB6"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2300</w:t>
            </w:r>
          </w:p>
        </w:tc>
        <w:tc>
          <w:tcPr>
            <w:tcW w:w="614" w:type="dxa"/>
            <w:tcBorders>
              <w:top w:val="nil"/>
              <w:left w:val="nil"/>
              <w:bottom w:val="single" w:sz="4" w:space="0" w:color="auto"/>
              <w:right w:val="single" w:sz="4" w:space="0" w:color="auto"/>
            </w:tcBorders>
            <w:shd w:val="clear" w:color="auto" w:fill="auto"/>
            <w:noWrap/>
            <w:vAlign w:val="bottom"/>
            <w:hideMark/>
          </w:tcPr>
          <w:p w14:paraId="51E8D043"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2400</w:t>
            </w:r>
          </w:p>
        </w:tc>
        <w:tc>
          <w:tcPr>
            <w:tcW w:w="664" w:type="dxa"/>
            <w:tcBorders>
              <w:top w:val="nil"/>
              <w:left w:val="nil"/>
              <w:bottom w:val="single" w:sz="4" w:space="0" w:color="auto"/>
              <w:right w:val="single" w:sz="4" w:space="0" w:color="auto"/>
            </w:tcBorders>
            <w:shd w:val="clear" w:color="auto" w:fill="auto"/>
            <w:noWrap/>
            <w:vAlign w:val="bottom"/>
            <w:hideMark/>
          </w:tcPr>
          <w:p w14:paraId="6B8A7381"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2.1%</w:t>
            </w:r>
          </w:p>
        </w:tc>
        <w:tc>
          <w:tcPr>
            <w:tcW w:w="880" w:type="dxa"/>
            <w:tcBorders>
              <w:top w:val="nil"/>
              <w:left w:val="nil"/>
              <w:bottom w:val="single" w:sz="4" w:space="0" w:color="auto"/>
              <w:right w:val="single" w:sz="4" w:space="0" w:color="auto"/>
            </w:tcBorders>
            <w:shd w:val="clear" w:color="auto" w:fill="auto"/>
            <w:noWrap/>
            <w:vAlign w:val="bottom"/>
            <w:hideMark/>
          </w:tcPr>
          <w:p w14:paraId="397DFB8C"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-93.7</w:t>
            </w:r>
          </w:p>
        </w:tc>
        <w:tc>
          <w:tcPr>
            <w:tcW w:w="536" w:type="dxa"/>
            <w:tcBorders>
              <w:top w:val="nil"/>
              <w:left w:val="nil"/>
              <w:bottom w:val="single" w:sz="4" w:space="0" w:color="auto"/>
              <w:right w:val="single" w:sz="4" w:space="0" w:color="auto"/>
            </w:tcBorders>
            <w:shd w:val="clear" w:color="auto" w:fill="auto"/>
            <w:noWrap/>
            <w:vAlign w:val="bottom"/>
            <w:hideMark/>
          </w:tcPr>
          <w:p w14:paraId="3128020D"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9.0</w:t>
            </w:r>
          </w:p>
        </w:tc>
        <w:tc>
          <w:tcPr>
            <w:tcW w:w="2339" w:type="dxa"/>
            <w:tcBorders>
              <w:top w:val="nil"/>
              <w:left w:val="nil"/>
              <w:bottom w:val="single" w:sz="4" w:space="0" w:color="auto"/>
              <w:right w:val="single" w:sz="4" w:space="0" w:color="auto"/>
            </w:tcBorders>
            <w:shd w:val="clear" w:color="auto" w:fill="auto"/>
            <w:noWrap/>
            <w:vAlign w:val="bottom"/>
            <w:hideMark/>
          </w:tcPr>
          <w:p w14:paraId="66E37E8B"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 </w:t>
            </w:r>
          </w:p>
        </w:tc>
      </w:tr>
      <w:tr w:rsidR="00C9251A" w:rsidRPr="00C9251A" w14:paraId="3C00CC5D" w14:textId="77777777" w:rsidTr="00C9251A">
        <w:trPr>
          <w:trHeight w:val="56"/>
          <w:jc w:val="center"/>
        </w:trPr>
        <w:tc>
          <w:tcPr>
            <w:tcW w:w="920" w:type="dxa"/>
            <w:tcBorders>
              <w:top w:val="nil"/>
              <w:left w:val="single" w:sz="4" w:space="0" w:color="auto"/>
              <w:bottom w:val="single" w:sz="4" w:space="0" w:color="auto"/>
              <w:right w:val="single" w:sz="4" w:space="0" w:color="auto"/>
            </w:tcBorders>
            <w:shd w:val="clear" w:color="000000" w:fill="FFFF00"/>
            <w:noWrap/>
            <w:vAlign w:val="bottom"/>
            <w:hideMark/>
          </w:tcPr>
          <w:p w14:paraId="36D341A3"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n41</w:t>
            </w:r>
          </w:p>
        </w:tc>
        <w:tc>
          <w:tcPr>
            <w:tcW w:w="581" w:type="dxa"/>
            <w:tcBorders>
              <w:top w:val="nil"/>
              <w:left w:val="nil"/>
              <w:bottom w:val="single" w:sz="4" w:space="0" w:color="auto"/>
              <w:right w:val="single" w:sz="4" w:space="0" w:color="auto"/>
            </w:tcBorders>
            <w:shd w:val="clear" w:color="000000" w:fill="FFFF00"/>
            <w:noWrap/>
            <w:vAlign w:val="bottom"/>
            <w:hideMark/>
          </w:tcPr>
          <w:p w14:paraId="6189D6B7"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2496</w:t>
            </w:r>
          </w:p>
        </w:tc>
        <w:tc>
          <w:tcPr>
            <w:tcW w:w="614" w:type="dxa"/>
            <w:tcBorders>
              <w:top w:val="nil"/>
              <w:left w:val="nil"/>
              <w:bottom w:val="single" w:sz="4" w:space="0" w:color="auto"/>
              <w:right w:val="single" w:sz="4" w:space="0" w:color="auto"/>
            </w:tcBorders>
            <w:shd w:val="clear" w:color="000000" w:fill="FFFF00"/>
            <w:noWrap/>
            <w:vAlign w:val="bottom"/>
            <w:hideMark/>
          </w:tcPr>
          <w:p w14:paraId="7FFF15C6"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2690</w:t>
            </w:r>
          </w:p>
        </w:tc>
        <w:tc>
          <w:tcPr>
            <w:tcW w:w="664" w:type="dxa"/>
            <w:tcBorders>
              <w:top w:val="nil"/>
              <w:left w:val="nil"/>
              <w:bottom w:val="single" w:sz="4" w:space="0" w:color="auto"/>
              <w:right w:val="single" w:sz="4" w:space="0" w:color="auto"/>
            </w:tcBorders>
            <w:shd w:val="clear" w:color="000000" w:fill="FFFF00"/>
            <w:noWrap/>
            <w:vAlign w:val="bottom"/>
            <w:hideMark/>
          </w:tcPr>
          <w:p w14:paraId="77F35153"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3.7%</w:t>
            </w:r>
          </w:p>
        </w:tc>
        <w:tc>
          <w:tcPr>
            <w:tcW w:w="880" w:type="dxa"/>
            <w:tcBorders>
              <w:top w:val="nil"/>
              <w:left w:val="nil"/>
              <w:bottom w:val="single" w:sz="4" w:space="0" w:color="auto"/>
              <w:right w:val="single" w:sz="4" w:space="0" w:color="auto"/>
            </w:tcBorders>
            <w:shd w:val="clear" w:color="000000" w:fill="FFFF00"/>
            <w:noWrap/>
            <w:vAlign w:val="bottom"/>
            <w:hideMark/>
          </w:tcPr>
          <w:p w14:paraId="4C83DBDB"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-91.7</w:t>
            </w:r>
          </w:p>
        </w:tc>
        <w:tc>
          <w:tcPr>
            <w:tcW w:w="536" w:type="dxa"/>
            <w:tcBorders>
              <w:top w:val="nil"/>
              <w:left w:val="nil"/>
              <w:bottom w:val="single" w:sz="4" w:space="0" w:color="auto"/>
              <w:right w:val="single" w:sz="4" w:space="0" w:color="auto"/>
            </w:tcBorders>
            <w:shd w:val="clear" w:color="000000" w:fill="FFFF00"/>
            <w:noWrap/>
            <w:vAlign w:val="bottom"/>
            <w:hideMark/>
          </w:tcPr>
          <w:p w14:paraId="79964064"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11.0</w:t>
            </w:r>
          </w:p>
        </w:tc>
        <w:tc>
          <w:tcPr>
            <w:tcW w:w="2339" w:type="dxa"/>
            <w:tcBorders>
              <w:top w:val="nil"/>
              <w:left w:val="nil"/>
              <w:bottom w:val="single" w:sz="4" w:space="0" w:color="auto"/>
              <w:right w:val="single" w:sz="4" w:space="0" w:color="auto"/>
            </w:tcBorders>
            <w:shd w:val="clear" w:color="000000" w:fill="FFFF00"/>
            <w:noWrap/>
            <w:vAlign w:val="bottom"/>
            <w:hideMark/>
          </w:tcPr>
          <w:p w14:paraId="14312262"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sharp filter impact</w:t>
            </w:r>
          </w:p>
        </w:tc>
      </w:tr>
      <w:tr w:rsidR="00C9251A" w:rsidRPr="00C9251A" w14:paraId="5F51FCF6" w14:textId="77777777" w:rsidTr="00C9251A">
        <w:trPr>
          <w:trHeight w:val="56"/>
          <w:jc w:val="center"/>
        </w:trPr>
        <w:tc>
          <w:tcPr>
            <w:tcW w:w="920" w:type="dxa"/>
            <w:tcBorders>
              <w:top w:val="nil"/>
              <w:left w:val="single" w:sz="4" w:space="0" w:color="auto"/>
              <w:bottom w:val="single" w:sz="4" w:space="0" w:color="auto"/>
              <w:right w:val="single" w:sz="4" w:space="0" w:color="auto"/>
            </w:tcBorders>
            <w:shd w:val="clear" w:color="auto" w:fill="auto"/>
            <w:noWrap/>
            <w:vAlign w:val="bottom"/>
            <w:hideMark/>
          </w:tcPr>
          <w:p w14:paraId="05ACDF8F"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n78</w:t>
            </w:r>
          </w:p>
        </w:tc>
        <w:tc>
          <w:tcPr>
            <w:tcW w:w="581" w:type="dxa"/>
            <w:tcBorders>
              <w:top w:val="nil"/>
              <w:left w:val="nil"/>
              <w:bottom w:val="single" w:sz="4" w:space="0" w:color="auto"/>
              <w:right w:val="single" w:sz="4" w:space="0" w:color="auto"/>
            </w:tcBorders>
            <w:shd w:val="clear" w:color="auto" w:fill="auto"/>
            <w:noWrap/>
            <w:vAlign w:val="bottom"/>
            <w:hideMark/>
          </w:tcPr>
          <w:p w14:paraId="54092745"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3300</w:t>
            </w:r>
          </w:p>
        </w:tc>
        <w:tc>
          <w:tcPr>
            <w:tcW w:w="614" w:type="dxa"/>
            <w:tcBorders>
              <w:top w:val="nil"/>
              <w:left w:val="nil"/>
              <w:bottom w:val="single" w:sz="4" w:space="0" w:color="auto"/>
              <w:right w:val="single" w:sz="4" w:space="0" w:color="auto"/>
            </w:tcBorders>
            <w:shd w:val="clear" w:color="auto" w:fill="auto"/>
            <w:noWrap/>
            <w:vAlign w:val="bottom"/>
            <w:hideMark/>
          </w:tcPr>
          <w:p w14:paraId="7E34765A"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3800</w:t>
            </w:r>
          </w:p>
        </w:tc>
        <w:tc>
          <w:tcPr>
            <w:tcW w:w="664" w:type="dxa"/>
            <w:tcBorders>
              <w:top w:val="nil"/>
              <w:left w:val="nil"/>
              <w:bottom w:val="single" w:sz="4" w:space="0" w:color="auto"/>
              <w:right w:val="single" w:sz="4" w:space="0" w:color="auto"/>
            </w:tcBorders>
            <w:shd w:val="clear" w:color="auto" w:fill="auto"/>
            <w:noWrap/>
            <w:vAlign w:val="bottom"/>
            <w:hideMark/>
          </w:tcPr>
          <w:p w14:paraId="3DAD574D"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7.0%</w:t>
            </w:r>
          </w:p>
        </w:tc>
        <w:tc>
          <w:tcPr>
            <w:tcW w:w="880" w:type="dxa"/>
            <w:tcBorders>
              <w:top w:val="nil"/>
              <w:left w:val="nil"/>
              <w:bottom w:val="single" w:sz="4" w:space="0" w:color="auto"/>
              <w:right w:val="single" w:sz="4" w:space="0" w:color="auto"/>
            </w:tcBorders>
            <w:shd w:val="clear" w:color="auto" w:fill="auto"/>
            <w:noWrap/>
            <w:vAlign w:val="bottom"/>
            <w:hideMark/>
          </w:tcPr>
          <w:p w14:paraId="3DFB0182"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-92.7</w:t>
            </w:r>
          </w:p>
        </w:tc>
        <w:tc>
          <w:tcPr>
            <w:tcW w:w="536" w:type="dxa"/>
            <w:tcBorders>
              <w:top w:val="nil"/>
              <w:left w:val="nil"/>
              <w:bottom w:val="single" w:sz="4" w:space="0" w:color="auto"/>
              <w:right w:val="single" w:sz="4" w:space="0" w:color="auto"/>
            </w:tcBorders>
            <w:shd w:val="clear" w:color="auto" w:fill="auto"/>
            <w:noWrap/>
            <w:vAlign w:val="bottom"/>
            <w:hideMark/>
          </w:tcPr>
          <w:p w14:paraId="6175BE94"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10.0</w:t>
            </w:r>
          </w:p>
        </w:tc>
        <w:tc>
          <w:tcPr>
            <w:tcW w:w="2339" w:type="dxa"/>
            <w:tcBorders>
              <w:top w:val="nil"/>
              <w:left w:val="nil"/>
              <w:bottom w:val="single" w:sz="4" w:space="0" w:color="auto"/>
              <w:right w:val="single" w:sz="4" w:space="0" w:color="auto"/>
            </w:tcBorders>
            <w:shd w:val="clear" w:color="auto" w:fill="auto"/>
            <w:noWrap/>
            <w:vAlign w:val="bottom"/>
            <w:hideMark/>
          </w:tcPr>
          <w:p w14:paraId="7D1D123F"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 </w:t>
            </w:r>
          </w:p>
        </w:tc>
      </w:tr>
      <w:tr w:rsidR="00C9251A" w:rsidRPr="00C9251A" w14:paraId="018686D7" w14:textId="77777777" w:rsidTr="00C9251A">
        <w:trPr>
          <w:trHeight w:val="56"/>
          <w:jc w:val="center"/>
        </w:trPr>
        <w:tc>
          <w:tcPr>
            <w:tcW w:w="920" w:type="dxa"/>
            <w:tcBorders>
              <w:top w:val="nil"/>
              <w:left w:val="single" w:sz="4" w:space="0" w:color="auto"/>
              <w:bottom w:val="single" w:sz="4" w:space="0" w:color="auto"/>
              <w:right w:val="single" w:sz="4" w:space="0" w:color="auto"/>
            </w:tcBorders>
            <w:shd w:val="clear" w:color="000000" w:fill="FFFF00"/>
            <w:noWrap/>
            <w:vAlign w:val="bottom"/>
            <w:hideMark/>
          </w:tcPr>
          <w:p w14:paraId="67624FCB"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n77</w:t>
            </w:r>
          </w:p>
        </w:tc>
        <w:tc>
          <w:tcPr>
            <w:tcW w:w="581" w:type="dxa"/>
            <w:tcBorders>
              <w:top w:val="nil"/>
              <w:left w:val="nil"/>
              <w:bottom w:val="single" w:sz="4" w:space="0" w:color="auto"/>
              <w:right w:val="single" w:sz="4" w:space="0" w:color="auto"/>
            </w:tcBorders>
            <w:shd w:val="clear" w:color="000000" w:fill="FFFF00"/>
            <w:noWrap/>
            <w:vAlign w:val="bottom"/>
            <w:hideMark/>
          </w:tcPr>
          <w:p w14:paraId="419C0433"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3300</w:t>
            </w:r>
          </w:p>
        </w:tc>
        <w:tc>
          <w:tcPr>
            <w:tcW w:w="614" w:type="dxa"/>
            <w:tcBorders>
              <w:top w:val="nil"/>
              <w:left w:val="nil"/>
              <w:bottom w:val="single" w:sz="4" w:space="0" w:color="auto"/>
              <w:right w:val="single" w:sz="4" w:space="0" w:color="auto"/>
            </w:tcBorders>
            <w:shd w:val="clear" w:color="000000" w:fill="FFFF00"/>
            <w:noWrap/>
            <w:vAlign w:val="bottom"/>
            <w:hideMark/>
          </w:tcPr>
          <w:p w14:paraId="1959F01F"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4200</w:t>
            </w:r>
          </w:p>
        </w:tc>
        <w:tc>
          <w:tcPr>
            <w:tcW w:w="664" w:type="dxa"/>
            <w:tcBorders>
              <w:top w:val="nil"/>
              <w:left w:val="nil"/>
              <w:bottom w:val="single" w:sz="4" w:space="0" w:color="auto"/>
              <w:right w:val="single" w:sz="4" w:space="0" w:color="auto"/>
            </w:tcBorders>
            <w:shd w:val="clear" w:color="000000" w:fill="FFFF00"/>
            <w:noWrap/>
            <w:vAlign w:val="bottom"/>
            <w:hideMark/>
          </w:tcPr>
          <w:p w14:paraId="2A5D95B4"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12.0%</w:t>
            </w:r>
          </w:p>
        </w:tc>
        <w:tc>
          <w:tcPr>
            <w:tcW w:w="880" w:type="dxa"/>
            <w:tcBorders>
              <w:top w:val="nil"/>
              <w:left w:val="nil"/>
              <w:bottom w:val="single" w:sz="4" w:space="0" w:color="auto"/>
              <w:right w:val="single" w:sz="4" w:space="0" w:color="auto"/>
            </w:tcBorders>
            <w:shd w:val="clear" w:color="000000" w:fill="FFFF00"/>
            <w:noWrap/>
            <w:vAlign w:val="bottom"/>
            <w:hideMark/>
          </w:tcPr>
          <w:p w14:paraId="6344D5F5"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-92.2</w:t>
            </w:r>
          </w:p>
        </w:tc>
        <w:tc>
          <w:tcPr>
            <w:tcW w:w="536" w:type="dxa"/>
            <w:tcBorders>
              <w:top w:val="nil"/>
              <w:left w:val="nil"/>
              <w:bottom w:val="single" w:sz="4" w:space="0" w:color="auto"/>
              <w:right w:val="single" w:sz="4" w:space="0" w:color="auto"/>
            </w:tcBorders>
            <w:shd w:val="clear" w:color="000000" w:fill="FFFF00"/>
            <w:noWrap/>
            <w:vAlign w:val="bottom"/>
            <w:hideMark/>
          </w:tcPr>
          <w:p w14:paraId="62D1015A"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10.5</w:t>
            </w:r>
          </w:p>
        </w:tc>
        <w:tc>
          <w:tcPr>
            <w:tcW w:w="2339" w:type="dxa"/>
            <w:tcBorders>
              <w:top w:val="nil"/>
              <w:left w:val="nil"/>
              <w:bottom w:val="single" w:sz="4" w:space="0" w:color="auto"/>
              <w:right w:val="single" w:sz="4" w:space="0" w:color="auto"/>
            </w:tcBorders>
            <w:shd w:val="clear" w:color="000000" w:fill="FFFF00"/>
            <w:noWrap/>
            <w:vAlign w:val="bottom"/>
            <w:hideMark/>
          </w:tcPr>
          <w:p w14:paraId="072DC260"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wide filter impact</w:t>
            </w:r>
          </w:p>
        </w:tc>
      </w:tr>
      <w:tr w:rsidR="00C9251A" w:rsidRPr="00C9251A" w14:paraId="0D1FCFCA" w14:textId="77777777" w:rsidTr="00C9251A">
        <w:trPr>
          <w:trHeight w:val="56"/>
          <w:jc w:val="center"/>
        </w:trPr>
        <w:tc>
          <w:tcPr>
            <w:tcW w:w="920" w:type="dxa"/>
            <w:tcBorders>
              <w:top w:val="nil"/>
              <w:left w:val="single" w:sz="4" w:space="0" w:color="auto"/>
              <w:bottom w:val="single" w:sz="4" w:space="0" w:color="auto"/>
              <w:right w:val="single" w:sz="4" w:space="0" w:color="auto"/>
            </w:tcBorders>
            <w:shd w:val="clear" w:color="auto" w:fill="auto"/>
            <w:noWrap/>
            <w:vAlign w:val="bottom"/>
            <w:hideMark/>
          </w:tcPr>
          <w:p w14:paraId="20EF8ECB"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n79</w:t>
            </w:r>
          </w:p>
        </w:tc>
        <w:tc>
          <w:tcPr>
            <w:tcW w:w="581" w:type="dxa"/>
            <w:tcBorders>
              <w:top w:val="nil"/>
              <w:left w:val="nil"/>
              <w:bottom w:val="single" w:sz="4" w:space="0" w:color="auto"/>
              <w:right w:val="single" w:sz="4" w:space="0" w:color="auto"/>
            </w:tcBorders>
            <w:shd w:val="clear" w:color="auto" w:fill="auto"/>
            <w:noWrap/>
            <w:vAlign w:val="bottom"/>
            <w:hideMark/>
          </w:tcPr>
          <w:p w14:paraId="2145CD6D"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4400</w:t>
            </w:r>
          </w:p>
        </w:tc>
        <w:tc>
          <w:tcPr>
            <w:tcW w:w="614" w:type="dxa"/>
            <w:tcBorders>
              <w:top w:val="nil"/>
              <w:left w:val="nil"/>
              <w:bottom w:val="single" w:sz="4" w:space="0" w:color="auto"/>
              <w:right w:val="single" w:sz="4" w:space="0" w:color="auto"/>
            </w:tcBorders>
            <w:shd w:val="clear" w:color="auto" w:fill="auto"/>
            <w:noWrap/>
            <w:vAlign w:val="bottom"/>
            <w:hideMark/>
          </w:tcPr>
          <w:p w14:paraId="0DE69F1D"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5000</w:t>
            </w:r>
          </w:p>
        </w:tc>
        <w:tc>
          <w:tcPr>
            <w:tcW w:w="664" w:type="dxa"/>
            <w:tcBorders>
              <w:top w:val="nil"/>
              <w:left w:val="nil"/>
              <w:bottom w:val="single" w:sz="4" w:space="0" w:color="auto"/>
              <w:right w:val="single" w:sz="4" w:space="0" w:color="auto"/>
            </w:tcBorders>
            <w:shd w:val="clear" w:color="auto" w:fill="auto"/>
            <w:noWrap/>
            <w:vAlign w:val="bottom"/>
            <w:hideMark/>
          </w:tcPr>
          <w:p w14:paraId="6372C275"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6.4%</w:t>
            </w:r>
          </w:p>
        </w:tc>
        <w:tc>
          <w:tcPr>
            <w:tcW w:w="880" w:type="dxa"/>
            <w:tcBorders>
              <w:top w:val="nil"/>
              <w:left w:val="nil"/>
              <w:bottom w:val="single" w:sz="4" w:space="0" w:color="auto"/>
              <w:right w:val="single" w:sz="4" w:space="0" w:color="auto"/>
            </w:tcBorders>
            <w:shd w:val="clear" w:color="auto" w:fill="auto"/>
            <w:noWrap/>
            <w:vAlign w:val="bottom"/>
            <w:hideMark/>
          </w:tcPr>
          <w:p w14:paraId="449AFD6C"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-92.7</w:t>
            </w:r>
          </w:p>
        </w:tc>
        <w:tc>
          <w:tcPr>
            <w:tcW w:w="536" w:type="dxa"/>
            <w:tcBorders>
              <w:top w:val="nil"/>
              <w:left w:val="nil"/>
              <w:bottom w:val="single" w:sz="4" w:space="0" w:color="auto"/>
              <w:right w:val="single" w:sz="4" w:space="0" w:color="auto"/>
            </w:tcBorders>
            <w:shd w:val="clear" w:color="auto" w:fill="auto"/>
            <w:noWrap/>
            <w:vAlign w:val="bottom"/>
            <w:hideMark/>
          </w:tcPr>
          <w:p w14:paraId="08F90496"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10.0</w:t>
            </w:r>
          </w:p>
        </w:tc>
        <w:tc>
          <w:tcPr>
            <w:tcW w:w="2339" w:type="dxa"/>
            <w:tcBorders>
              <w:top w:val="nil"/>
              <w:left w:val="nil"/>
              <w:bottom w:val="single" w:sz="4" w:space="0" w:color="auto"/>
              <w:right w:val="single" w:sz="4" w:space="0" w:color="auto"/>
            </w:tcBorders>
            <w:shd w:val="clear" w:color="auto" w:fill="auto"/>
            <w:noWrap/>
            <w:vAlign w:val="bottom"/>
            <w:hideMark/>
          </w:tcPr>
          <w:p w14:paraId="543194A1"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 </w:t>
            </w:r>
          </w:p>
        </w:tc>
      </w:tr>
      <w:tr w:rsidR="00C9251A" w:rsidRPr="00C9251A" w14:paraId="699FE809" w14:textId="77777777" w:rsidTr="00C9251A">
        <w:trPr>
          <w:trHeight w:val="56"/>
          <w:jc w:val="center"/>
        </w:trPr>
        <w:tc>
          <w:tcPr>
            <w:tcW w:w="920" w:type="dxa"/>
            <w:tcBorders>
              <w:top w:val="nil"/>
              <w:left w:val="single" w:sz="4" w:space="0" w:color="auto"/>
              <w:bottom w:val="single" w:sz="4" w:space="0" w:color="auto"/>
              <w:right w:val="single" w:sz="4" w:space="0" w:color="auto"/>
            </w:tcBorders>
            <w:shd w:val="clear" w:color="auto" w:fill="auto"/>
            <w:noWrap/>
            <w:vAlign w:val="bottom"/>
            <w:hideMark/>
          </w:tcPr>
          <w:p w14:paraId="1873300F"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n46</w:t>
            </w:r>
          </w:p>
        </w:tc>
        <w:tc>
          <w:tcPr>
            <w:tcW w:w="581" w:type="dxa"/>
            <w:tcBorders>
              <w:top w:val="nil"/>
              <w:left w:val="nil"/>
              <w:bottom w:val="single" w:sz="4" w:space="0" w:color="auto"/>
              <w:right w:val="single" w:sz="4" w:space="0" w:color="auto"/>
            </w:tcBorders>
            <w:shd w:val="clear" w:color="auto" w:fill="auto"/>
            <w:noWrap/>
            <w:vAlign w:val="bottom"/>
            <w:hideMark/>
          </w:tcPr>
          <w:p w14:paraId="1607615B"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5150</w:t>
            </w:r>
          </w:p>
        </w:tc>
        <w:tc>
          <w:tcPr>
            <w:tcW w:w="614" w:type="dxa"/>
            <w:tcBorders>
              <w:top w:val="nil"/>
              <w:left w:val="nil"/>
              <w:bottom w:val="single" w:sz="4" w:space="0" w:color="auto"/>
              <w:right w:val="single" w:sz="4" w:space="0" w:color="auto"/>
            </w:tcBorders>
            <w:shd w:val="clear" w:color="auto" w:fill="auto"/>
            <w:noWrap/>
            <w:vAlign w:val="bottom"/>
            <w:hideMark/>
          </w:tcPr>
          <w:p w14:paraId="342E927D"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5925</w:t>
            </w:r>
          </w:p>
        </w:tc>
        <w:tc>
          <w:tcPr>
            <w:tcW w:w="664" w:type="dxa"/>
            <w:tcBorders>
              <w:top w:val="nil"/>
              <w:left w:val="nil"/>
              <w:bottom w:val="single" w:sz="4" w:space="0" w:color="auto"/>
              <w:right w:val="single" w:sz="4" w:space="0" w:color="auto"/>
            </w:tcBorders>
            <w:shd w:val="clear" w:color="auto" w:fill="auto"/>
            <w:noWrap/>
            <w:vAlign w:val="bottom"/>
            <w:hideMark/>
          </w:tcPr>
          <w:p w14:paraId="79B68240"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7.0%</w:t>
            </w:r>
          </w:p>
        </w:tc>
        <w:tc>
          <w:tcPr>
            <w:tcW w:w="880" w:type="dxa"/>
            <w:tcBorders>
              <w:top w:val="nil"/>
              <w:left w:val="nil"/>
              <w:bottom w:val="single" w:sz="4" w:space="0" w:color="auto"/>
              <w:right w:val="single" w:sz="4" w:space="0" w:color="auto"/>
            </w:tcBorders>
            <w:shd w:val="clear" w:color="auto" w:fill="auto"/>
            <w:noWrap/>
            <w:vAlign w:val="bottom"/>
            <w:hideMark/>
          </w:tcPr>
          <w:p w14:paraId="69AFBDF8"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-89.7</w:t>
            </w:r>
          </w:p>
        </w:tc>
        <w:tc>
          <w:tcPr>
            <w:tcW w:w="536" w:type="dxa"/>
            <w:tcBorders>
              <w:top w:val="nil"/>
              <w:left w:val="nil"/>
              <w:bottom w:val="single" w:sz="4" w:space="0" w:color="auto"/>
              <w:right w:val="single" w:sz="4" w:space="0" w:color="auto"/>
            </w:tcBorders>
            <w:shd w:val="clear" w:color="auto" w:fill="auto"/>
            <w:noWrap/>
            <w:vAlign w:val="bottom"/>
            <w:hideMark/>
          </w:tcPr>
          <w:p w14:paraId="1617C284"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13.0</w:t>
            </w:r>
          </w:p>
        </w:tc>
        <w:tc>
          <w:tcPr>
            <w:tcW w:w="2339" w:type="dxa"/>
            <w:tcBorders>
              <w:top w:val="nil"/>
              <w:left w:val="nil"/>
              <w:bottom w:val="single" w:sz="4" w:space="0" w:color="auto"/>
              <w:right w:val="single" w:sz="4" w:space="0" w:color="auto"/>
            </w:tcBorders>
            <w:shd w:val="clear" w:color="auto" w:fill="auto"/>
            <w:noWrap/>
            <w:vAlign w:val="bottom"/>
            <w:hideMark/>
          </w:tcPr>
          <w:p w14:paraId="288DF941"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same %BW than n78</w:t>
            </w:r>
          </w:p>
        </w:tc>
      </w:tr>
      <w:tr w:rsidR="00C9251A" w:rsidRPr="00C9251A" w14:paraId="062C37A3" w14:textId="77777777" w:rsidTr="00C9251A">
        <w:trPr>
          <w:trHeight w:val="56"/>
          <w:jc w:val="center"/>
        </w:trPr>
        <w:tc>
          <w:tcPr>
            <w:tcW w:w="920" w:type="dxa"/>
            <w:tcBorders>
              <w:top w:val="nil"/>
              <w:left w:val="single" w:sz="4" w:space="0" w:color="auto"/>
              <w:bottom w:val="single" w:sz="4" w:space="0" w:color="auto"/>
              <w:right w:val="single" w:sz="4" w:space="0" w:color="auto"/>
            </w:tcBorders>
            <w:shd w:val="clear" w:color="auto" w:fill="auto"/>
            <w:noWrap/>
            <w:vAlign w:val="bottom"/>
            <w:hideMark/>
          </w:tcPr>
          <w:p w14:paraId="36958EAA"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n96</w:t>
            </w:r>
          </w:p>
        </w:tc>
        <w:tc>
          <w:tcPr>
            <w:tcW w:w="581" w:type="dxa"/>
            <w:tcBorders>
              <w:top w:val="nil"/>
              <w:left w:val="nil"/>
              <w:bottom w:val="single" w:sz="4" w:space="0" w:color="auto"/>
              <w:right w:val="single" w:sz="4" w:space="0" w:color="auto"/>
            </w:tcBorders>
            <w:shd w:val="clear" w:color="auto" w:fill="auto"/>
            <w:noWrap/>
            <w:vAlign w:val="bottom"/>
            <w:hideMark/>
          </w:tcPr>
          <w:p w14:paraId="228EF117"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5925</w:t>
            </w:r>
          </w:p>
        </w:tc>
        <w:tc>
          <w:tcPr>
            <w:tcW w:w="614" w:type="dxa"/>
            <w:tcBorders>
              <w:top w:val="nil"/>
              <w:left w:val="nil"/>
              <w:bottom w:val="single" w:sz="4" w:space="0" w:color="auto"/>
              <w:right w:val="single" w:sz="4" w:space="0" w:color="auto"/>
            </w:tcBorders>
            <w:shd w:val="clear" w:color="auto" w:fill="auto"/>
            <w:noWrap/>
            <w:vAlign w:val="bottom"/>
            <w:hideMark/>
          </w:tcPr>
          <w:p w14:paraId="60C3D752"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7125</w:t>
            </w:r>
          </w:p>
        </w:tc>
        <w:tc>
          <w:tcPr>
            <w:tcW w:w="664" w:type="dxa"/>
            <w:tcBorders>
              <w:top w:val="nil"/>
              <w:left w:val="nil"/>
              <w:bottom w:val="single" w:sz="4" w:space="0" w:color="auto"/>
              <w:right w:val="single" w:sz="4" w:space="0" w:color="auto"/>
            </w:tcBorders>
            <w:shd w:val="clear" w:color="auto" w:fill="auto"/>
            <w:noWrap/>
            <w:vAlign w:val="bottom"/>
            <w:hideMark/>
          </w:tcPr>
          <w:p w14:paraId="54284811"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9.2%</w:t>
            </w:r>
          </w:p>
        </w:tc>
        <w:tc>
          <w:tcPr>
            <w:tcW w:w="880" w:type="dxa"/>
            <w:tcBorders>
              <w:top w:val="nil"/>
              <w:left w:val="nil"/>
              <w:bottom w:val="single" w:sz="4" w:space="0" w:color="auto"/>
              <w:right w:val="single" w:sz="4" w:space="0" w:color="auto"/>
            </w:tcBorders>
            <w:shd w:val="clear" w:color="auto" w:fill="auto"/>
            <w:noWrap/>
            <w:vAlign w:val="bottom"/>
            <w:hideMark/>
          </w:tcPr>
          <w:p w14:paraId="2861A7DE"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-89.2</w:t>
            </w:r>
          </w:p>
        </w:tc>
        <w:tc>
          <w:tcPr>
            <w:tcW w:w="536" w:type="dxa"/>
            <w:tcBorders>
              <w:top w:val="nil"/>
              <w:left w:val="nil"/>
              <w:bottom w:val="single" w:sz="4" w:space="0" w:color="auto"/>
              <w:right w:val="single" w:sz="4" w:space="0" w:color="auto"/>
            </w:tcBorders>
            <w:shd w:val="clear" w:color="auto" w:fill="auto"/>
            <w:noWrap/>
            <w:vAlign w:val="bottom"/>
            <w:hideMark/>
          </w:tcPr>
          <w:p w14:paraId="4571B482"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13.5</w:t>
            </w:r>
          </w:p>
        </w:tc>
        <w:tc>
          <w:tcPr>
            <w:tcW w:w="2339" w:type="dxa"/>
            <w:tcBorders>
              <w:top w:val="nil"/>
              <w:left w:val="nil"/>
              <w:bottom w:val="single" w:sz="4" w:space="0" w:color="auto"/>
              <w:right w:val="single" w:sz="4" w:space="0" w:color="auto"/>
            </w:tcBorders>
            <w:shd w:val="clear" w:color="auto" w:fill="auto"/>
            <w:noWrap/>
            <w:vAlign w:val="bottom"/>
            <w:hideMark/>
          </w:tcPr>
          <w:p w14:paraId="3626B64B"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%BW between n78 and n77</w:t>
            </w:r>
          </w:p>
        </w:tc>
      </w:tr>
      <w:tr w:rsidR="00C9251A" w:rsidRPr="00C9251A" w14:paraId="703B2B68" w14:textId="77777777" w:rsidTr="00C9251A">
        <w:trPr>
          <w:trHeight w:val="56"/>
          <w:jc w:val="center"/>
        </w:trPr>
        <w:tc>
          <w:tcPr>
            <w:tcW w:w="920" w:type="dxa"/>
            <w:tcBorders>
              <w:top w:val="nil"/>
              <w:left w:val="single" w:sz="4" w:space="0" w:color="auto"/>
              <w:bottom w:val="single" w:sz="4" w:space="0" w:color="auto"/>
              <w:right w:val="single" w:sz="4" w:space="0" w:color="auto"/>
            </w:tcBorders>
            <w:shd w:val="clear" w:color="auto" w:fill="auto"/>
            <w:noWrap/>
            <w:vAlign w:val="bottom"/>
            <w:hideMark/>
          </w:tcPr>
          <w:p w14:paraId="695F1A44"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 xml:space="preserve">6GHz </w:t>
            </w:r>
            <w:proofErr w:type="spellStart"/>
            <w:r w:rsidRPr="00C9251A">
              <w:rPr>
                <w:rFonts w:asciiTheme="minorHAnsi" w:hAnsiTheme="minorHAnsi"/>
                <w:color w:val="000000"/>
                <w:sz w:val="18"/>
                <w:szCs w:val="18"/>
              </w:rPr>
              <w:t>Lic</w:t>
            </w:r>
            <w:proofErr w:type="spellEnd"/>
            <w:r w:rsidRPr="00C9251A">
              <w:rPr>
                <w:rFonts w:asciiTheme="minorHAnsi" w:hAnsiTheme="minorHAnsi"/>
                <w:color w:val="000000"/>
                <w:sz w:val="18"/>
                <w:szCs w:val="18"/>
              </w:rPr>
              <w:t>.</w:t>
            </w:r>
          </w:p>
        </w:tc>
        <w:tc>
          <w:tcPr>
            <w:tcW w:w="581" w:type="dxa"/>
            <w:tcBorders>
              <w:top w:val="nil"/>
              <w:left w:val="nil"/>
              <w:bottom w:val="single" w:sz="4" w:space="0" w:color="auto"/>
              <w:right w:val="single" w:sz="4" w:space="0" w:color="auto"/>
            </w:tcBorders>
            <w:shd w:val="clear" w:color="auto" w:fill="auto"/>
            <w:noWrap/>
            <w:vAlign w:val="bottom"/>
            <w:hideMark/>
          </w:tcPr>
          <w:p w14:paraId="007F896F"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6425</w:t>
            </w:r>
          </w:p>
        </w:tc>
        <w:tc>
          <w:tcPr>
            <w:tcW w:w="614" w:type="dxa"/>
            <w:tcBorders>
              <w:top w:val="nil"/>
              <w:left w:val="nil"/>
              <w:bottom w:val="single" w:sz="4" w:space="0" w:color="auto"/>
              <w:right w:val="single" w:sz="4" w:space="0" w:color="auto"/>
            </w:tcBorders>
            <w:shd w:val="clear" w:color="auto" w:fill="auto"/>
            <w:noWrap/>
            <w:vAlign w:val="bottom"/>
            <w:hideMark/>
          </w:tcPr>
          <w:p w14:paraId="37C81BED"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7125</w:t>
            </w:r>
          </w:p>
        </w:tc>
        <w:tc>
          <w:tcPr>
            <w:tcW w:w="664" w:type="dxa"/>
            <w:tcBorders>
              <w:top w:val="nil"/>
              <w:left w:val="nil"/>
              <w:bottom w:val="single" w:sz="4" w:space="0" w:color="auto"/>
              <w:right w:val="single" w:sz="4" w:space="0" w:color="auto"/>
            </w:tcBorders>
            <w:shd w:val="clear" w:color="auto" w:fill="auto"/>
            <w:noWrap/>
            <w:vAlign w:val="bottom"/>
            <w:hideMark/>
          </w:tcPr>
          <w:p w14:paraId="12E41A35"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5.2%</w:t>
            </w:r>
          </w:p>
        </w:tc>
        <w:tc>
          <w:tcPr>
            <w:tcW w:w="880" w:type="dxa"/>
            <w:tcBorders>
              <w:top w:val="nil"/>
              <w:left w:val="nil"/>
              <w:bottom w:val="single" w:sz="4" w:space="0" w:color="auto"/>
              <w:right w:val="single" w:sz="4" w:space="0" w:color="auto"/>
            </w:tcBorders>
            <w:shd w:val="clear" w:color="auto" w:fill="auto"/>
            <w:noWrap/>
            <w:vAlign w:val="bottom"/>
            <w:hideMark/>
          </w:tcPr>
          <w:p w14:paraId="53CE30A7"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w:t>
            </w:r>
          </w:p>
        </w:tc>
        <w:tc>
          <w:tcPr>
            <w:tcW w:w="536" w:type="dxa"/>
            <w:tcBorders>
              <w:top w:val="nil"/>
              <w:left w:val="nil"/>
              <w:bottom w:val="single" w:sz="4" w:space="0" w:color="auto"/>
              <w:right w:val="single" w:sz="4" w:space="0" w:color="auto"/>
            </w:tcBorders>
            <w:shd w:val="clear" w:color="auto" w:fill="auto"/>
            <w:noWrap/>
            <w:vAlign w:val="bottom"/>
            <w:hideMark/>
          </w:tcPr>
          <w:p w14:paraId="282D68DC"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 </w:t>
            </w:r>
          </w:p>
        </w:tc>
        <w:tc>
          <w:tcPr>
            <w:tcW w:w="2339" w:type="dxa"/>
            <w:tcBorders>
              <w:top w:val="nil"/>
              <w:left w:val="nil"/>
              <w:bottom w:val="single" w:sz="4" w:space="0" w:color="auto"/>
              <w:right w:val="single" w:sz="4" w:space="0" w:color="auto"/>
            </w:tcBorders>
            <w:shd w:val="clear" w:color="auto" w:fill="auto"/>
            <w:noWrap/>
            <w:vAlign w:val="bottom"/>
            <w:hideMark/>
          </w:tcPr>
          <w:p w14:paraId="711C92DD" w14:textId="77777777" w:rsidR="00C9251A" w:rsidRPr="00C9251A" w:rsidRDefault="00C9251A" w:rsidP="00C9251A">
            <w:pPr>
              <w:overflowPunct/>
              <w:autoSpaceDE/>
              <w:autoSpaceDN/>
              <w:adjustRightInd/>
              <w:spacing w:after="0"/>
              <w:jc w:val="center"/>
              <w:textAlignment w:val="auto"/>
              <w:rPr>
                <w:rFonts w:asciiTheme="minorHAnsi" w:hAnsiTheme="minorHAnsi"/>
                <w:color w:val="000000"/>
                <w:sz w:val="18"/>
                <w:szCs w:val="18"/>
              </w:rPr>
            </w:pPr>
            <w:r w:rsidRPr="00C9251A">
              <w:rPr>
                <w:rFonts w:asciiTheme="minorHAnsi" w:hAnsiTheme="minorHAnsi"/>
                <w:color w:val="000000"/>
                <w:sz w:val="18"/>
                <w:szCs w:val="18"/>
              </w:rPr>
              <w:t>%BW similar to n79</w:t>
            </w:r>
          </w:p>
        </w:tc>
      </w:tr>
    </w:tbl>
    <w:p w14:paraId="027A40B9" w14:textId="77777777" w:rsidR="00C46280" w:rsidRDefault="00C46280" w:rsidP="002A3E7C">
      <w:pPr>
        <w:spacing w:after="0"/>
        <w:rPr>
          <w:lang w:eastAsia="zh-CN"/>
        </w:rPr>
      </w:pPr>
    </w:p>
    <w:p w14:paraId="65E9BC64" w14:textId="3D913A89" w:rsidR="00233402" w:rsidRDefault="00F0198C" w:rsidP="002A3E7C">
      <w:pPr>
        <w:spacing w:after="0"/>
        <w:rPr>
          <w:lang w:eastAsia="zh-CN"/>
        </w:rPr>
      </w:pPr>
      <w:r>
        <w:rPr>
          <w:lang w:eastAsia="zh-CN"/>
        </w:rPr>
        <w:t xml:space="preserve">If </w:t>
      </w:r>
      <w:r w:rsidR="00C46280">
        <w:rPr>
          <w:lang w:eastAsia="zh-CN"/>
        </w:rPr>
        <w:t xml:space="preserve">at a first </w:t>
      </w:r>
      <w:r w:rsidR="00F05E71">
        <w:rPr>
          <w:lang w:eastAsia="zh-CN"/>
        </w:rPr>
        <w:t>look</w:t>
      </w:r>
      <w:r w:rsidR="00C46280">
        <w:rPr>
          <w:lang w:eastAsia="zh-CN"/>
        </w:rPr>
        <w:t xml:space="preserve"> there could questions on the scaling, in fact there is rationale behind higher REFSENS:</w:t>
      </w:r>
    </w:p>
    <w:p w14:paraId="6DE9526D" w14:textId="22D864F8" w:rsidR="00C46280" w:rsidRDefault="00C46280" w:rsidP="00C46280">
      <w:pPr>
        <w:pStyle w:val="ListParagraph"/>
        <w:numPr>
          <w:ilvl w:val="0"/>
          <w:numId w:val="28"/>
        </w:numPr>
        <w:spacing w:after="0"/>
        <w:jc w:val="both"/>
        <w:rPr>
          <w:lang w:eastAsia="zh-CN"/>
        </w:rPr>
      </w:pPr>
      <w:r>
        <w:rPr>
          <w:lang w:eastAsia="zh-CN"/>
        </w:rPr>
        <w:t xml:space="preserve">First, the losses scale with frequency and thus REFSENS </w:t>
      </w:r>
      <w:r w:rsidR="00F05E71">
        <w:rPr>
          <w:lang w:eastAsia="zh-CN"/>
        </w:rPr>
        <w:t>also does</w:t>
      </w:r>
    </w:p>
    <w:p w14:paraId="1B28B2CE" w14:textId="62A6347D" w:rsidR="00C46280" w:rsidRDefault="00C46280" w:rsidP="00C46280">
      <w:pPr>
        <w:pStyle w:val="ListParagraph"/>
        <w:numPr>
          <w:ilvl w:val="0"/>
          <w:numId w:val="28"/>
        </w:numPr>
        <w:spacing w:after="0"/>
        <w:jc w:val="both"/>
        <w:rPr>
          <w:lang w:eastAsia="zh-CN"/>
        </w:rPr>
      </w:pPr>
      <w:r>
        <w:rPr>
          <w:lang w:eastAsia="zh-CN"/>
        </w:rPr>
        <w:t>Band 41 requires a very sharp filter to cope with coexistence with adjacent 2.4GHz connectivity band</w:t>
      </w:r>
      <w:r w:rsidR="00F05E71">
        <w:rPr>
          <w:lang w:eastAsia="zh-CN"/>
        </w:rPr>
        <w:t>,</w:t>
      </w:r>
      <w:r>
        <w:rPr>
          <w:lang w:eastAsia="zh-CN"/>
        </w:rPr>
        <w:t xml:space="preserve"> but also to meet the strict NS04 requirements in UL</w:t>
      </w:r>
    </w:p>
    <w:p w14:paraId="6B4E8C28" w14:textId="7A7CCDD6" w:rsidR="00C46280" w:rsidRDefault="00C46280" w:rsidP="00C46280">
      <w:pPr>
        <w:pStyle w:val="ListParagraph"/>
        <w:numPr>
          <w:ilvl w:val="0"/>
          <w:numId w:val="28"/>
        </w:numPr>
        <w:spacing w:after="0"/>
        <w:jc w:val="both"/>
        <w:rPr>
          <w:lang w:eastAsia="zh-CN"/>
        </w:rPr>
      </w:pPr>
      <w:r>
        <w:rPr>
          <w:lang w:eastAsia="zh-CN"/>
        </w:rPr>
        <w:t>Band n77 has a 0.5dB impact versus n78 to enable the large 12% fractional bandwidth</w:t>
      </w:r>
    </w:p>
    <w:p w14:paraId="4698F877" w14:textId="0C99866F" w:rsidR="00C46280" w:rsidRDefault="00C46280" w:rsidP="00C46280">
      <w:pPr>
        <w:pStyle w:val="ListParagraph"/>
        <w:numPr>
          <w:ilvl w:val="0"/>
          <w:numId w:val="28"/>
        </w:numPr>
        <w:spacing w:after="0"/>
        <w:jc w:val="both"/>
        <w:rPr>
          <w:lang w:eastAsia="zh-CN"/>
        </w:rPr>
      </w:pPr>
      <w:r>
        <w:rPr>
          <w:lang w:eastAsia="zh-CN"/>
        </w:rPr>
        <w:t xml:space="preserve">Band n46 and n96 are impacted by the additional losses due to hardware sharing with 5 and 6GHz </w:t>
      </w:r>
      <w:proofErr w:type="spellStart"/>
      <w:r>
        <w:rPr>
          <w:lang w:eastAsia="zh-CN"/>
        </w:rPr>
        <w:t>WiFi</w:t>
      </w:r>
      <w:proofErr w:type="spellEnd"/>
      <w:r>
        <w:rPr>
          <w:lang w:eastAsia="zh-CN"/>
        </w:rPr>
        <w:t xml:space="preserve"> and a 1GHz or 2GHz higher frequency than n79 respectively.</w:t>
      </w:r>
    </w:p>
    <w:p w14:paraId="3EADF53E" w14:textId="329840E1" w:rsidR="00C46280" w:rsidRPr="005F2D4C" w:rsidRDefault="00C46280" w:rsidP="00C46280">
      <w:pPr>
        <w:pStyle w:val="Heading2"/>
        <w:spacing w:after="240"/>
        <w:rPr>
          <w:lang w:eastAsia="zh-CN"/>
        </w:rPr>
      </w:pPr>
      <w:r>
        <w:rPr>
          <w:lang w:eastAsia="zh-CN"/>
        </w:rPr>
        <w:lastRenderedPageBreak/>
        <w:t>REFSENS scaling</w:t>
      </w:r>
    </w:p>
    <w:p w14:paraId="32A61960" w14:textId="1F92643F" w:rsidR="00C46280" w:rsidRDefault="00C46280" w:rsidP="00C46280">
      <w:pPr>
        <w:rPr>
          <w:rFonts w:eastAsia="Yu Mincho"/>
          <w:lang w:eastAsia="ja-JP"/>
        </w:rPr>
      </w:pPr>
      <w:r>
        <w:rPr>
          <w:rFonts w:eastAsia="Yu Mincho"/>
          <w:lang w:eastAsia="ja-JP"/>
        </w:rPr>
        <w:t>One way to define the 6GHz licensed band REFSENS is to look at different scaling options. For this, we leave band</w:t>
      </w:r>
      <w:r w:rsidR="00F05E71">
        <w:rPr>
          <w:rFonts w:eastAsia="Yu Mincho"/>
          <w:lang w:eastAsia="ja-JP"/>
        </w:rPr>
        <w:t>s</w:t>
      </w:r>
      <w:r>
        <w:rPr>
          <w:rFonts w:eastAsia="Yu Mincho"/>
          <w:lang w:eastAsia="ja-JP"/>
        </w:rPr>
        <w:t xml:space="preserve"> n41 and n77 aside as they are impacted by aspect</w:t>
      </w:r>
      <w:r w:rsidR="00F05E71">
        <w:rPr>
          <w:rFonts w:eastAsia="Yu Mincho"/>
          <w:lang w:eastAsia="ja-JP"/>
        </w:rPr>
        <w:t>s</w:t>
      </w:r>
      <w:r>
        <w:rPr>
          <w:rFonts w:eastAsia="Yu Mincho"/>
          <w:lang w:eastAsia="ja-JP"/>
        </w:rPr>
        <w:t xml:space="preserve"> that are not </w:t>
      </w:r>
      <w:r w:rsidR="00A612A5">
        <w:rPr>
          <w:rFonts w:eastAsia="Yu Mincho"/>
          <w:lang w:eastAsia="ja-JP"/>
        </w:rPr>
        <w:t>fully relevant to the new band.</w:t>
      </w:r>
    </w:p>
    <w:p w14:paraId="00AE3B72" w14:textId="5EFA48C6" w:rsidR="00A612A5" w:rsidRDefault="00C46280" w:rsidP="00421830">
      <w:pPr>
        <w:pStyle w:val="Caption"/>
        <w:keepNext/>
        <w:jc w:val="center"/>
      </w:pPr>
      <w:r>
        <w:t xml:space="preserve">Table </w:t>
      </w:r>
      <w:r w:rsidR="00A14D29">
        <w:fldChar w:fldCharType="begin"/>
      </w:r>
      <w:r w:rsidR="00A14D29">
        <w:instrText xml:space="preserve"> SEQ Table \* ARABIC </w:instrText>
      </w:r>
      <w:r w:rsidR="00A14D29">
        <w:fldChar w:fldCharType="separate"/>
      </w:r>
      <w:r>
        <w:rPr>
          <w:noProof/>
        </w:rPr>
        <w:t>2</w:t>
      </w:r>
      <w:r w:rsidR="00A14D29">
        <w:rPr>
          <w:noProof/>
        </w:rPr>
        <w:fldChar w:fldCharType="end"/>
      </w:r>
      <w:r w:rsidR="00A612A5">
        <w:t xml:space="preserve">: </w:t>
      </w:r>
      <w:r>
        <w:t>20MH</w:t>
      </w:r>
      <w:r w:rsidR="00A612A5">
        <w:t>z</w:t>
      </w:r>
      <w:r>
        <w:t xml:space="preserve"> REFSEN for </w:t>
      </w:r>
      <w:r w:rsidR="00A612A5">
        <w:t xml:space="preserve">6GHz licensed </w:t>
      </w:r>
      <w:r>
        <w:t>band</w:t>
      </w:r>
      <w:r w:rsidR="00A612A5">
        <w:t xml:space="preserve"> based on different scaling scenarios</w:t>
      </w:r>
    </w:p>
    <w:tbl>
      <w:tblPr>
        <w:tblW w:w="7696" w:type="dxa"/>
        <w:jc w:val="center"/>
        <w:tblInd w:w="93" w:type="dxa"/>
        <w:tblLook w:val="04A0" w:firstRow="1" w:lastRow="0" w:firstColumn="1" w:lastColumn="0" w:noHBand="0" w:noVBand="1"/>
      </w:tblPr>
      <w:tblGrid>
        <w:gridCol w:w="2660"/>
        <w:gridCol w:w="880"/>
        <w:gridCol w:w="538"/>
        <w:gridCol w:w="3620"/>
      </w:tblGrid>
      <w:tr w:rsidR="00421830" w:rsidRPr="00421830" w14:paraId="0D479B14" w14:textId="77777777" w:rsidTr="00940107">
        <w:trPr>
          <w:trHeight w:val="56"/>
          <w:jc w:val="center"/>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293F0" w14:textId="77777777" w:rsidR="00421830" w:rsidRPr="00421830" w:rsidRDefault="00421830" w:rsidP="00421830">
            <w:pPr>
              <w:overflowPunct/>
              <w:autoSpaceDE/>
              <w:autoSpaceDN/>
              <w:adjustRightInd/>
              <w:spacing w:after="0"/>
              <w:jc w:val="center"/>
              <w:textAlignment w:val="auto"/>
              <w:rPr>
                <w:rFonts w:ascii="Calibri" w:hAnsi="Calibri"/>
                <w:color w:val="000000"/>
                <w:sz w:val="18"/>
                <w:szCs w:val="18"/>
              </w:rPr>
            </w:pPr>
            <w:r w:rsidRPr="00421830">
              <w:rPr>
                <w:rFonts w:ascii="Calibri" w:hAnsi="Calibri"/>
                <w:color w:val="000000"/>
                <w:sz w:val="18"/>
                <w:szCs w:val="18"/>
              </w:rPr>
              <w:t>Scaling</w:t>
            </w:r>
          </w:p>
        </w:tc>
        <w:tc>
          <w:tcPr>
            <w:tcW w:w="880" w:type="dxa"/>
            <w:tcBorders>
              <w:top w:val="single" w:sz="4" w:space="0" w:color="auto"/>
              <w:left w:val="nil"/>
              <w:bottom w:val="single" w:sz="4" w:space="0" w:color="auto"/>
              <w:right w:val="single" w:sz="4" w:space="0" w:color="auto"/>
            </w:tcBorders>
            <w:shd w:val="clear" w:color="auto" w:fill="auto"/>
            <w:vAlign w:val="bottom"/>
            <w:hideMark/>
          </w:tcPr>
          <w:p w14:paraId="69D2260B" w14:textId="77777777" w:rsidR="00421830" w:rsidRPr="00421830" w:rsidRDefault="00421830" w:rsidP="00421830">
            <w:pPr>
              <w:overflowPunct/>
              <w:autoSpaceDE/>
              <w:autoSpaceDN/>
              <w:adjustRightInd/>
              <w:spacing w:after="0"/>
              <w:jc w:val="center"/>
              <w:textAlignment w:val="auto"/>
              <w:rPr>
                <w:rFonts w:ascii="Calibri" w:hAnsi="Calibri"/>
                <w:color w:val="000000"/>
                <w:sz w:val="18"/>
                <w:szCs w:val="18"/>
              </w:rPr>
            </w:pPr>
            <w:r w:rsidRPr="00421830">
              <w:rPr>
                <w:rFonts w:ascii="Calibri" w:hAnsi="Calibri"/>
                <w:color w:val="000000"/>
                <w:sz w:val="18"/>
                <w:szCs w:val="18"/>
              </w:rPr>
              <w:t>20MHz</w:t>
            </w:r>
            <w:r w:rsidRPr="00421830">
              <w:rPr>
                <w:rFonts w:ascii="Calibri" w:hAnsi="Calibri"/>
                <w:color w:val="000000"/>
                <w:sz w:val="18"/>
                <w:szCs w:val="18"/>
              </w:rPr>
              <w:br/>
              <w:t>REFSENS</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14:paraId="3E0A5541" w14:textId="77777777" w:rsidR="00421830" w:rsidRPr="00421830" w:rsidRDefault="00421830" w:rsidP="00421830">
            <w:pPr>
              <w:overflowPunct/>
              <w:autoSpaceDE/>
              <w:autoSpaceDN/>
              <w:adjustRightInd/>
              <w:spacing w:after="0"/>
              <w:jc w:val="center"/>
              <w:textAlignment w:val="auto"/>
              <w:rPr>
                <w:rFonts w:ascii="Calibri" w:hAnsi="Calibri"/>
                <w:color w:val="000000"/>
                <w:sz w:val="18"/>
                <w:szCs w:val="18"/>
              </w:rPr>
            </w:pPr>
            <w:r w:rsidRPr="00421830">
              <w:rPr>
                <w:rFonts w:ascii="Calibri" w:hAnsi="Calibri"/>
                <w:color w:val="000000"/>
                <w:sz w:val="18"/>
                <w:szCs w:val="18"/>
              </w:rPr>
              <w:t>NF</w:t>
            </w:r>
          </w:p>
        </w:tc>
        <w:tc>
          <w:tcPr>
            <w:tcW w:w="3620" w:type="dxa"/>
            <w:tcBorders>
              <w:top w:val="single" w:sz="4" w:space="0" w:color="auto"/>
              <w:left w:val="nil"/>
              <w:bottom w:val="single" w:sz="4" w:space="0" w:color="auto"/>
              <w:right w:val="single" w:sz="4" w:space="0" w:color="auto"/>
            </w:tcBorders>
            <w:shd w:val="clear" w:color="auto" w:fill="auto"/>
            <w:noWrap/>
            <w:vAlign w:val="bottom"/>
            <w:hideMark/>
          </w:tcPr>
          <w:p w14:paraId="2D756F9D" w14:textId="77777777" w:rsidR="00421830" w:rsidRPr="00421830" w:rsidRDefault="00421830" w:rsidP="00421830">
            <w:pPr>
              <w:overflowPunct/>
              <w:autoSpaceDE/>
              <w:autoSpaceDN/>
              <w:adjustRightInd/>
              <w:spacing w:after="0"/>
              <w:jc w:val="center"/>
              <w:textAlignment w:val="auto"/>
              <w:rPr>
                <w:rFonts w:ascii="Calibri" w:hAnsi="Calibri"/>
                <w:color w:val="000000"/>
                <w:sz w:val="18"/>
                <w:szCs w:val="18"/>
              </w:rPr>
            </w:pPr>
            <w:r w:rsidRPr="00421830">
              <w:rPr>
                <w:rFonts w:ascii="Calibri" w:hAnsi="Calibri"/>
                <w:color w:val="000000"/>
                <w:sz w:val="18"/>
                <w:szCs w:val="18"/>
              </w:rPr>
              <w:t>comment</w:t>
            </w:r>
          </w:p>
        </w:tc>
      </w:tr>
      <w:tr w:rsidR="00421830" w:rsidRPr="00421830" w14:paraId="56DD7959" w14:textId="77777777" w:rsidTr="00940107">
        <w:trPr>
          <w:trHeight w:val="56"/>
          <w:jc w:val="center"/>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14F4DB" w14:textId="77777777" w:rsidR="00421830" w:rsidRPr="00421830" w:rsidRDefault="00421830" w:rsidP="00421830">
            <w:pPr>
              <w:overflowPunct/>
              <w:autoSpaceDE/>
              <w:autoSpaceDN/>
              <w:adjustRightInd/>
              <w:spacing w:after="0"/>
              <w:jc w:val="center"/>
              <w:textAlignment w:val="auto"/>
              <w:rPr>
                <w:rFonts w:ascii="Calibri" w:hAnsi="Calibri"/>
                <w:color w:val="000000"/>
                <w:sz w:val="18"/>
                <w:szCs w:val="18"/>
              </w:rPr>
            </w:pPr>
            <w:r w:rsidRPr="00421830">
              <w:rPr>
                <w:rFonts w:ascii="Calibri" w:hAnsi="Calibri"/>
                <w:color w:val="000000"/>
                <w:sz w:val="18"/>
                <w:szCs w:val="18"/>
              </w:rPr>
              <w:t xml:space="preserve">n1 to n78 </w:t>
            </w:r>
            <w:proofErr w:type="spellStart"/>
            <w:r w:rsidRPr="00421830">
              <w:rPr>
                <w:rFonts w:ascii="Calibri" w:hAnsi="Calibri"/>
                <w:color w:val="000000"/>
                <w:sz w:val="18"/>
                <w:szCs w:val="18"/>
              </w:rPr>
              <w:t>scalled</w:t>
            </w:r>
            <w:proofErr w:type="spellEnd"/>
          </w:p>
        </w:tc>
        <w:tc>
          <w:tcPr>
            <w:tcW w:w="880" w:type="dxa"/>
            <w:tcBorders>
              <w:top w:val="nil"/>
              <w:left w:val="nil"/>
              <w:bottom w:val="single" w:sz="4" w:space="0" w:color="auto"/>
              <w:right w:val="single" w:sz="4" w:space="0" w:color="auto"/>
            </w:tcBorders>
            <w:shd w:val="clear" w:color="auto" w:fill="auto"/>
            <w:noWrap/>
            <w:hideMark/>
          </w:tcPr>
          <w:p w14:paraId="32023DF1" w14:textId="77777777" w:rsidR="00421830" w:rsidRPr="00421830" w:rsidRDefault="00421830" w:rsidP="00421830">
            <w:pPr>
              <w:overflowPunct/>
              <w:autoSpaceDE/>
              <w:autoSpaceDN/>
              <w:adjustRightInd/>
              <w:spacing w:after="0"/>
              <w:jc w:val="center"/>
              <w:textAlignment w:val="auto"/>
              <w:rPr>
                <w:rFonts w:ascii="Calibri" w:hAnsi="Calibri"/>
                <w:color w:val="000000"/>
                <w:sz w:val="18"/>
                <w:szCs w:val="18"/>
              </w:rPr>
            </w:pPr>
            <w:r w:rsidRPr="00421830">
              <w:rPr>
                <w:rFonts w:ascii="Calibri" w:hAnsi="Calibri"/>
                <w:color w:val="000000"/>
                <w:sz w:val="18"/>
                <w:szCs w:val="18"/>
              </w:rPr>
              <w:t>-90.5</w:t>
            </w:r>
          </w:p>
        </w:tc>
        <w:tc>
          <w:tcPr>
            <w:tcW w:w="536" w:type="dxa"/>
            <w:tcBorders>
              <w:top w:val="nil"/>
              <w:left w:val="nil"/>
              <w:bottom w:val="single" w:sz="4" w:space="0" w:color="auto"/>
              <w:right w:val="single" w:sz="4" w:space="0" w:color="auto"/>
            </w:tcBorders>
            <w:shd w:val="clear" w:color="auto" w:fill="auto"/>
            <w:noWrap/>
            <w:vAlign w:val="bottom"/>
            <w:hideMark/>
          </w:tcPr>
          <w:p w14:paraId="1B0F0BDD" w14:textId="77777777" w:rsidR="00421830" w:rsidRPr="00421830" w:rsidRDefault="00421830" w:rsidP="00421830">
            <w:pPr>
              <w:overflowPunct/>
              <w:autoSpaceDE/>
              <w:autoSpaceDN/>
              <w:adjustRightInd/>
              <w:spacing w:after="0"/>
              <w:jc w:val="right"/>
              <w:textAlignment w:val="auto"/>
              <w:rPr>
                <w:rFonts w:ascii="Calibri" w:hAnsi="Calibri"/>
                <w:color w:val="000000"/>
                <w:sz w:val="18"/>
                <w:szCs w:val="18"/>
              </w:rPr>
            </w:pPr>
            <w:r w:rsidRPr="00421830">
              <w:rPr>
                <w:rFonts w:ascii="Calibri" w:hAnsi="Calibri"/>
                <w:color w:val="000000"/>
                <w:sz w:val="18"/>
                <w:szCs w:val="18"/>
              </w:rPr>
              <w:t>12.2</w:t>
            </w:r>
          </w:p>
        </w:tc>
        <w:tc>
          <w:tcPr>
            <w:tcW w:w="3620" w:type="dxa"/>
            <w:tcBorders>
              <w:top w:val="nil"/>
              <w:left w:val="nil"/>
              <w:bottom w:val="single" w:sz="4" w:space="0" w:color="auto"/>
              <w:right w:val="single" w:sz="4" w:space="0" w:color="auto"/>
            </w:tcBorders>
            <w:shd w:val="clear" w:color="auto" w:fill="auto"/>
            <w:noWrap/>
            <w:vAlign w:val="bottom"/>
            <w:hideMark/>
          </w:tcPr>
          <w:p w14:paraId="2B46D170" w14:textId="77777777" w:rsidR="00421830" w:rsidRPr="00421830" w:rsidRDefault="00421830" w:rsidP="00421830">
            <w:pPr>
              <w:overflowPunct/>
              <w:autoSpaceDE/>
              <w:autoSpaceDN/>
              <w:adjustRightInd/>
              <w:spacing w:after="0"/>
              <w:textAlignment w:val="auto"/>
              <w:rPr>
                <w:rFonts w:ascii="Calibri" w:hAnsi="Calibri"/>
                <w:color w:val="000000"/>
                <w:sz w:val="18"/>
                <w:szCs w:val="18"/>
              </w:rPr>
            </w:pPr>
            <w:r w:rsidRPr="00421830">
              <w:rPr>
                <w:rFonts w:ascii="Calibri" w:hAnsi="Calibri"/>
                <w:color w:val="000000"/>
                <w:sz w:val="18"/>
                <w:szCs w:val="18"/>
              </w:rPr>
              <w:t> </w:t>
            </w:r>
          </w:p>
        </w:tc>
      </w:tr>
      <w:tr w:rsidR="00421830" w:rsidRPr="00421830" w14:paraId="1C659CC2" w14:textId="77777777" w:rsidTr="00940107">
        <w:trPr>
          <w:trHeight w:val="56"/>
          <w:jc w:val="center"/>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852600" w14:textId="77777777" w:rsidR="00421830" w:rsidRPr="00421830" w:rsidRDefault="00421830" w:rsidP="00421830">
            <w:pPr>
              <w:overflowPunct/>
              <w:autoSpaceDE/>
              <w:autoSpaceDN/>
              <w:adjustRightInd/>
              <w:spacing w:after="0"/>
              <w:jc w:val="center"/>
              <w:textAlignment w:val="auto"/>
              <w:rPr>
                <w:rFonts w:ascii="Calibri" w:hAnsi="Calibri"/>
                <w:color w:val="000000"/>
                <w:sz w:val="18"/>
                <w:szCs w:val="18"/>
              </w:rPr>
            </w:pPr>
            <w:r w:rsidRPr="00421830">
              <w:rPr>
                <w:rFonts w:ascii="Calibri" w:hAnsi="Calibri"/>
                <w:color w:val="000000"/>
                <w:sz w:val="18"/>
                <w:szCs w:val="18"/>
              </w:rPr>
              <w:t xml:space="preserve">n1 to n79 </w:t>
            </w:r>
            <w:proofErr w:type="spellStart"/>
            <w:r w:rsidRPr="00421830">
              <w:rPr>
                <w:rFonts w:ascii="Calibri" w:hAnsi="Calibri"/>
                <w:color w:val="000000"/>
                <w:sz w:val="18"/>
                <w:szCs w:val="18"/>
              </w:rPr>
              <w:t>scalled</w:t>
            </w:r>
            <w:proofErr w:type="spellEnd"/>
          </w:p>
        </w:tc>
        <w:tc>
          <w:tcPr>
            <w:tcW w:w="880" w:type="dxa"/>
            <w:tcBorders>
              <w:top w:val="nil"/>
              <w:left w:val="nil"/>
              <w:bottom w:val="single" w:sz="4" w:space="0" w:color="auto"/>
              <w:right w:val="single" w:sz="4" w:space="0" w:color="auto"/>
            </w:tcBorders>
            <w:shd w:val="clear" w:color="auto" w:fill="auto"/>
            <w:noWrap/>
            <w:hideMark/>
          </w:tcPr>
          <w:p w14:paraId="540F793C" w14:textId="77777777" w:rsidR="00421830" w:rsidRPr="00421830" w:rsidRDefault="00421830" w:rsidP="00421830">
            <w:pPr>
              <w:overflowPunct/>
              <w:autoSpaceDE/>
              <w:autoSpaceDN/>
              <w:adjustRightInd/>
              <w:spacing w:after="0"/>
              <w:jc w:val="center"/>
              <w:textAlignment w:val="auto"/>
              <w:rPr>
                <w:rFonts w:ascii="Calibri" w:hAnsi="Calibri"/>
                <w:color w:val="000000"/>
                <w:sz w:val="18"/>
                <w:szCs w:val="18"/>
              </w:rPr>
            </w:pPr>
            <w:r w:rsidRPr="00421830">
              <w:rPr>
                <w:rFonts w:ascii="Calibri" w:hAnsi="Calibri"/>
                <w:color w:val="000000"/>
                <w:sz w:val="18"/>
                <w:szCs w:val="18"/>
              </w:rPr>
              <w:t>-91.9</w:t>
            </w:r>
          </w:p>
        </w:tc>
        <w:tc>
          <w:tcPr>
            <w:tcW w:w="536" w:type="dxa"/>
            <w:tcBorders>
              <w:top w:val="nil"/>
              <w:left w:val="nil"/>
              <w:bottom w:val="single" w:sz="4" w:space="0" w:color="auto"/>
              <w:right w:val="single" w:sz="4" w:space="0" w:color="auto"/>
            </w:tcBorders>
            <w:shd w:val="clear" w:color="auto" w:fill="auto"/>
            <w:noWrap/>
            <w:vAlign w:val="bottom"/>
            <w:hideMark/>
          </w:tcPr>
          <w:p w14:paraId="70AAC537" w14:textId="77777777" w:rsidR="00421830" w:rsidRPr="00421830" w:rsidRDefault="00421830" w:rsidP="00421830">
            <w:pPr>
              <w:overflowPunct/>
              <w:autoSpaceDE/>
              <w:autoSpaceDN/>
              <w:adjustRightInd/>
              <w:spacing w:after="0"/>
              <w:jc w:val="right"/>
              <w:textAlignment w:val="auto"/>
              <w:rPr>
                <w:rFonts w:ascii="Calibri" w:hAnsi="Calibri"/>
                <w:color w:val="000000"/>
                <w:sz w:val="18"/>
                <w:szCs w:val="18"/>
              </w:rPr>
            </w:pPr>
            <w:r w:rsidRPr="00421830">
              <w:rPr>
                <w:rFonts w:ascii="Calibri" w:hAnsi="Calibri"/>
                <w:color w:val="000000"/>
                <w:sz w:val="18"/>
                <w:szCs w:val="18"/>
              </w:rPr>
              <w:t>10.8</w:t>
            </w:r>
          </w:p>
        </w:tc>
        <w:tc>
          <w:tcPr>
            <w:tcW w:w="3620" w:type="dxa"/>
            <w:tcBorders>
              <w:top w:val="nil"/>
              <w:left w:val="nil"/>
              <w:bottom w:val="single" w:sz="4" w:space="0" w:color="auto"/>
              <w:right w:val="single" w:sz="4" w:space="0" w:color="auto"/>
            </w:tcBorders>
            <w:shd w:val="clear" w:color="auto" w:fill="auto"/>
            <w:noWrap/>
            <w:vAlign w:val="bottom"/>
            <w:hideMark/>
          </w:tcPr>
          <w:p w14:paraId="625CC7B0" w14:textId="5A16FD35" w:rsidR="00421830" w:rsidRPr="00421830" w:rsidRDefault="00940107" w:rsidP="00421830">
            <w:pPr>
              <w:overflowPunct/>
              <w:autoSpaceDE/>
              <w:autoSpaceDN/>
              <w:adjustRightInd/>
              <w:spacing w:after="0"/>
              <w:textAlignment w:val="auto"/>
              <w:rPr>
                <w:rFonts w:ascii="Calibri" w:hAnsi="Calibri"/>
                <w:color w:val="000000"/>
                <w:sz w:val="18"/>
                <w:szCs w:val="18"/>
              </w:rPr>
            </w:pPr>
            <w:r>
              <w:rPr>
                <w:rFonts w:ascii="Calibri" w:hAnsi="Calibri"/>
                <w:color w:val="000000"/>
                <w:sz w:val="18"/>
                <w:szCs w:val="18"/>
              </w:rPr>
              <w:t>Close to 10.5dB</w:t>
            </w:r>
            <w:r w:rsidR="00421830" w:rsidRPr="00421830">
              <w:rPr>
                <w:rFonts w:ascii="Calibri" w:hAnsi="Calibri"/>
                <w:color w:val="000000"/>
                <w:sz w:val="18"/>
                <w:szCs w:val="18"/>
              </w:rPr>
              <w:t> </w:t>
            </w:r>
          </w:p>
        </w:tc>
      </w:tr>
      <w:tr w:rsidR="00421830" w:rsidRPr="00421830" w14:paraId="7CA77382" w14:textId="77777777" w:rsidTr="00940107">
        <w:trPr>
          <w:trHeight w:val="56"/>
          <w:jc w:val="center"/>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3B6E96" w14:textId="77777777" w:rsidR="00421830" w:rsidRPr="00421830" w:rsidRDefault="00421830" w:rsidP="00421830">
            <w:pPr>
              <w:overflowPunct/>
              <w:autoSpaceDE/>
              <w:autoSpaceDN/>
              <w:adjustRightInd/>
              <w:spacing w:after="0"/>
              <w:jc w:val="center"/>
              <w:textAlignment w:val="auto"/>
              <w:rPr>
                <w:rFonts w:ascii="Calibri" w:hAnsi="Calibri"/>
                <w:color w:val="000000"/>
                <w:sz w:val="18"/>
                <w:szCs w:val="18"/>
              </w:rPr>
            </w:pPr>
            <w:r w:rsidRPr="00421830">
              <w:rPr>
                <w:rFonts w:ascii="Calibri" w:hAnsi="Calibri"/>
                <w:color w:val="000000"/>
                <w:sz w:val="18"/>
                <w:szCs w:val="18"/>
              </w:rPr>
              <w:t xml:space="preserve">n40 to n78 </w:t>
            </w:r>
            <w:proofErr w:type="spellStart"/>
            <w:r w:rsidRPr="00421830">
              <w:rPr>
                <w:rFonts w:ascii="Calibri" w:hAnsi="Calibri"/>
                <w:color w:val="000000"/>
                <w:sz w:val="18"/>
                <w:szCs w:val="18"/>
              </w:rPr>
              <w:t>scalled</w:t>
            </w:r>
            <w:proofErr w:type="spellEnd"/>
          </w:p>
        </w:tc>
        <w:tc>
          <w:tcPr>
            <w:tcW w:w="880" w:type="dxa"/>
            <w:tcBorders>
              <w:top w:val="nil"/>
              <w:left w:val="nil"/>
              <w:bottom w:val="single" w:sz="4" w:space="0" w:color="auto"/>
              <w:right w:val="single" w:sz="4" w:space="0" w:color="auto"/>
            </w:tcBorders>
            <w:shd w:val="clear" w:color="auto" w:fill="auto"/>
            <w:noWrap/>
            <w:hideMark/>
          </w:tcPr>
          <w:p w14:paraId="600E1521" w14:textId="77777777" w:rsidR="00421830" w:rsidRPr="00421830" w:rsidRDefault="00421830" w:rsidP="00421830">
            <w:pPr>
              <w:overflowPunct/>
              <w:autoSpaceDE/>
              <w:autoSpaceDN/>
              <w:adjustRightInd/>
              <w:spacing w:after="0"/>
              <w:jc w:val="center"/>
              <w:textAlignment w:val="auto"/>
              <w:rPr>
                <w:rFonts w:ascii="Calibri" w:hAnsi="Calibri"/>
                <w:color w:val="000000"/>
                <w:sz w:val="18"/>
                <w:szCs w:val="18"/>
              </w:rPr>
            </w:pPr>
            <w:r w:rsidRPr="00421830">
              <w:rPr>
                <w:rFonts w:ascii="Calibri" w:hAnsi="Calibri"/>
                <w:color w:val="000000"/>
                <w:sz w:val="18"/>
                <w:szCs w:val="18"/>
              </w:rPr>
              <w:t>-90.3</w:t>
            </w:r>
          </w:p>
        </w:tc>
        <w:tc>
          <w:tcPr>
            <w:tcW w:w="536" w:type="dxa"/>
            <w:tcBorders>
              <w:top w:val="nil"/>
              <w:left w:val="nil"/>
              <w:bottom w:val="single" w:sz="4" w:space="0" w:color="auto"/>
              <w:right w:val="single" w:sz="4" w:space="0" w:color="auto"/>
            </w:tcBorders>
            <w:shd w:val="clear" w:color="auto" w:fill="auto"/>
            <w:noWrap/>
            <w:vAlign w:val="bottom"/>
            <w:hideMark/>
          </w:tcPr>
          <w:p w14:paraId="174D8C60" w14:textId="77777777" w:rsidR="00421830" w:rsidRPr="00421830" w:rsidRDefault="00421830" w:rsidP="00421830">
            <w:pPr>
              <w:overflowPunct/>
              <w:autoSpaceDE/>
              <w:autoSpaceDN/>
              <w:adjustRightInd/>
              <w:spacing w:after="0"/>
              <w:jc w:val="right"/>
              <w:textAlignment w:val="auto"/>
              <w:rPr>
                <w:rFonts w:ascii="Calibri" w:hAnsi="Calibri"/>
                <w:color w:val="000000"/>
                <w:sz w:val="18"/>
                <w:szCs w:val="18"/>
              </w:rPr>
            </w:pPr>
            <w:r w:rsidRPr="00421830">
              <w:rPr>
                <w:rFonts w:ascii="Calibri" w:hAnsi="Calibri"/>
                <w:color w:val="000000"/>
                <w:sz w:val="18"/>
                <w:szCs w:val="18"/>
              </w:rPr>
              <w:t>12.4</w:t>
            </w:r>
          </w:p>
        </w:tc>
        <w:tc>
          <w:tcPr>
            <w:tcW w:w="3620" w:type="dxa"/>
            <w:tcBorders>
              <w:top w:val="nil"/>
              <w:left w:val="nil"/>
              <w:bottom w:val="single" w:sz="4" w:space="0" w:color="auto"/>
              <w:right w:val="single" w:sz="4" w:space="0" w:color="auto"/>
            </w:tcBorders>
            <w:shd w:val="clear" w:color="auto" w:fill="auto"/>
            <w:noWrap/>
            <w:vAlign w:val="bottom"/>
            <w:hideMark/>
          </w:tcPr>
          <w:p w14:paraId="150F07B5" w14:textId="77777777" w:rsidR="00421830" w:rsidRPr="00421830" w:rsidRDefault="00421830" w:rsidP="00421830">
            <w:pPr>
              <w:overflowPunct/>
              <w:autoSpaceDE/>
              <w:autoSpaceDN/>
              <w:adjustRightInd/>
              <w:spacing w:after="0"/>
              <w:textAlignment w:val="auto"/>
              <w:rPr>
                <w:rFonts w:ascii="Calibri" w:hAnsi="Calibri"/>
                <w:color w:val="000000"/>
                <w:sz w:val="18"/>
                <w:szCs w:val="18"/>
              </w:rPr>
            </w:pPr>
            <w:r w:rsidRPr="00421830">
              <w:rPr>
                <w:rFonts w:ascii="Calibri" w:hAnsi="Calibri"/>
                <w:color w:val="000000"/>
                <w:sz w:val="18"/>
                <w:szCs w:val="18"/>
              </w:rPr>
              <w:t> </w:t>
            </w:r>
          </w:p>
        </w:tc>
      </w:tr>
      <w:tr w:rsidR="00421830" w:rsidRPr="00421830" w14:paraId="0CA65F77" w14:textId="77777777" w:rsidTr="00940107">
        <w:trPr>
          <w:trHeight w:val="56"/>
          <w:jc w:val="center"/>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072A61" w14:textId="77777777" w:rsidR="00421830" w:rsidRPr="00421830" w:rsidRDefault="00421830" w:rsidP="00421830">
            <w:pPr>
              <w:overflowPunct/>
              <w:autoSpaceDE/>
              <w:autoSpaceDN/>
              <w:adjustRightInd/>
              <w:spacing w:after="0"/>
              <w:jc w:val="center"/>
              <w:textAlignment w:val="auto"/>
              <w:rPr>
                <w:rFonts w:ascii="Calibri" w:hAnsi="Calibri"/>
                <w:color w:val="000000"/>
                <w:sz w:val="18"/>
                <w:szCs w:val="18"/>
              </w:rPr>
            </w:pPr>
            <w:r w:rsidRPr="00421830">
              <w:rPr>
                <w:rFonts w:ascii="Calibri" w:hAnsi="Calibri"/>
                <w:color w:val="000000"/>
                <w:sz w:val="18"/>
                <w:szCs w:val="18"/>
              </w:rPr>
              <w:t xml:space="preserve">n40 to n79 </w:t>
            </w:r>
            <w:proofErr w:type="spellStart"/>
            <w:r w:rsidRPr="00421830">
              <w:rPr>
                <w:rFonts w:ascii="Calibri" w:hAnsi="Calibri"/>
                <w:color w:val="000000"/>
                <w:sz w:val="18"/>
                <w:szCs w:val="18"/>
              </w:rPr>
              <w:t>scalled</w:t>
            </w:r>
            <w:proofErr w:type="spellEnd"/>
          </w:p>
        </w:tc>
        <w:tc>
          <w:tcPr>
            <w:tcW w:w="880" w:type="dxa"/>
            <w:tcBorders>
              <w:top w:val="nil"/>
              <w:left w:val="nil"/>
              <w:bottom w:val="single" w:sz="4" w:space="0" w:color="auto"/>
              <w:right w:val="single" w:sz="4" w:space="0" w:color="auto"/>
            </w:tcBorders>
            <w:shd w:val="clear" w:color="auto" w:fill="auto"/>
            <w:noWrap/>
            <w:hideMark/>
          </w:tcPr>
          <w:p w14:paraId="10F1914D" w14:textId="77777777" w:rsidR="00421830" w:rsidRPr="00421830" w:rsidRDefault="00421830" w:rsidP="00421830">
            <w:pPr>
              <w:overflowPunct/>
              <w:autoSpaceDE/>
              <w:autoSpaceDN/>
              <w:adjustRightInd/>
              <w:spacing w:after="0"/>
              <w:jc w:val="center"/>
              <w:textAlignment w:val="auto"/>
              <w:rPr>
                <w:rFonts w:ascii="Calibri" w:hAnsi="Calibri"/>
                <w:color w:val="000000"/>
                <w:sz w:val="18"/>
                <w:szCs w:val="18"/>
              </w:rPr>
            </w:pPr>
            <w:r w:rsidRPr="00421830">
              <w:rPr>
                <w:rFonts w:ascii="Calibri" w:hAnsi="Calibri"/>
                <w:color w:val="000000"/>
                <w:sz w:val="18"/>
                <w:szCs w:val="18"/>
              </w:rPr>
              <w:t>-91.8</w:t>
            </w:r>
          </w:p>
        </w:tc>
        <w:tc>
          <w:tcPr>
            <w:tcW w:w="536" w:type="dxa"/>
            <w:tcBorders>
              <w:top w:val="nil"/>
              <w:left w:val="nil"/>
              <w:bottom w:val="single" w:sz="4" w:space="0" w:color="auto"/>
              <w:right w:val="single" w:sz="4" w:space="0" w:color="auto"/>
            </w:tcBorders>
            <w:shd w:val="clear" w:color="auto" w:fill="auto"/>
            <w:noWrap/>
            <w:vAlign w:val="bottom"/>
            <w:hideMark/>
          </w:tcPr>
          <w:p w14:paraId="1E5FE415" w14:textId="77777777" w:rsidR="00421830" w:rsidRPr="00421830" w:rsidRDefault="00421830" w:rsidP="00421830">
            <w:pPr>
              <w:overflowPunct/>
              <w:autoSpaceDE/>
              <w:autoSpaceDN/>
              <w:adjustRightInd/>
              <w:spacing w:after="0"/>
              <w:jc w:val="right"/>
              <w:textAlignment w:val="auto"/>
              <w:rPr>
                <w:rFonts w:ascii="Calibri" w:hAnsi="Calibri"/>
                <w:color w:val="000000"/>
                <w:sz w:val="18"/>
                <w:szCs w:val="18"/>
              </w:rPr>
            </w:pPr>
            <w:r w:rsidRPr="00421830">
              <w:rPr>
                <w:rFonts w:ascii="Calibri" w:hAnsi="Calibri"/>
                <w:color w:val="000000"/>
                <w:sz w:val="18"/>
                <w:szCs w:val="18"/>
              </w:rPr>
              <w:t>10.8</w:t>
            </w:r>
          </w:p>
        </w:tc>
        <w:tc>
          <w:tcPr>
            <w:tcW w:w="3620" w:type="dxa"/>
            <w:tcBorders>
              <w:top w:val="nil"/>
              <w:left w:val="nil"/>
              <w:bottom w:val="single" w:sz="4" w:space="0" w:color="auto"/>
              <w:right w:val="single" w:sz="4" w:space="0" w:color="auto"/>
            </w:tcBorders>
            <w:shd w:val="clear" w:color="auto" w:fill="auto"/>
            <w:noWrap/>
            <w:vAlign w:val="bottom"/>
            <w:hideMark/>
          </w:tcPr>
          <w:p w14:paraId="5FBDBA71" w14:textId="3EAC215E" w:rsidR="00421830" w:rsidRPr="00421830" w:rsidRDefault="00940107" w:rsidP="00421830">
            <w:pPr>
              <w:overflowPunct/>
              <w:autoSpaceDE/>
              <w:autoSpaceDN/>
              <w:adjustRightInd/>
              <w:spacing w:after="0"/>
              <w:textAlignment w:val="auto"/>
              <w:rPr>
                <w:rFonts w:ascii="Calibri" w:hAnsi="Calibri"/>
                <w:color w:val="000000"/>
                <w:sz w:val="18"/>
                <w:szCs w:val="18"/>
              </w:rPr>
            </w:pPr>
            <w:r>
              <w:rPr>
                <w:rFonts w:ascii="Calibri" w:hAnsi="Calibri"/>
                <w:color w:val="000000"/>
                <w:sz w:val="18"/>
                <w:szCs w:val="18"/>
              </w:rPr>
              <w:t xml:space="preserve">Close to 10.5dB </w:t>
            </w:r>
          </w:p>
        </w:tc>
      </w:tr>
      <w:tr w:rsidR="00421830" w:rsidRPr="00421830" w14:paraId="29737B61" w14:textId="77777777" w:rsidTr="00940107">
        <w:trPr>
          <w:trHeight w:val="56"/>
          <w:jc w:val="center"/>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A9069C" w14:textId="77777777" w:rsidR="00421830" w:rsidRPr="00421830" w:rsidRDefault="00421830" w:rsidP="00421830">
            <w:pPr>
              <w:overflowPunct/>
              <w:autoSpaceDE/>
              <w:autoSpaceDN/>
              <w:adjustRightInd/>
              <w:spacing w:after="0"/>
              <w:jc w:val="center"/>
              <w:textAlignment w:val="auto"/>
              <w:rPr>
                <w:rFonts w:ascii="Calibri" w:hAnsi="Calibri"/>
                <w:color w:val="000000"/>
                <w:sz w:val="18"/>
                <w:szCs w:val="18"/>
              </w:rPr>
            </w:pPr>
            <w:r w:rsidRPr="00421830">
              <w:rPr>
                <w:rFonts w:ascii="Calibri" w:hAnsi="Calibri"/>
                <w:color w:val="000000"/>
                <w:sz w:val="18"/>
                <w:szCs w:val="18"/>
              </w:rPr>
              <w:t>10.5dB NF based</w:t>
            </w:r>
          </w:p>
        </w:tc>
        <w:tc>
          <w:tcPr>
            <w:tcW w:w="880" w:type="dxa"/>
            <w:tcBorders>
              <w:top w:val="nil"/>
              <w:left w:val="nil"/>
              <w:bottom w:val="single" w:sz="4" w:space="0" w:color="auto"/>
              <w:right w:val="single" w:sz="4" w:space="0" w:color="auto"/>
            </w:tcBorders>
            <w:shd w:val="clear" w:color="auto" w:fill="auto"/>
            <w:noWrap/>
            <w:vAlign w:val="bottom"/>
            <w:hideMark/>
          </w:tcPr>
          <w:p w14:paraId="206F7939" w14:textId="77777777" w:rsidR="00421830" w:rsidRPr="00421830" w:rsidRDefault="00421830" w:rsidP="00421830">
            <w:pPr>
              <w:overflowPunct/>
              <w:autoSpaceDE/>
              <w:autoSpaceDN/>
              <w:adjustRightInd/>
              <w:spacing w:after="0"/>
              <w:jc w:val="center"/>
              <w:textAlignment w:val="auto"/>
              <w:rPr>
                <w:rFonts w:ascii="Calibri" w:hAnsi="Calibri"/>
                <w:color w:val="000000"/>
                <w:sz w:val="18"/>
                <w:szCs w:val="18"/>
              </w:rPr>
            </w:pPr>
            <w:r w:rsidRPr="00421830">
              <w:rPr>
                <w:rFonts w:ascii="Calibri" w:hAnsi="Calibri"/>
                <w:color w:val="000000"/>
                <w:sz w:val="18"/>
                <w:szCs w:val="18"/>
              </w:rPr>
              <w:t>-92.2</w:t>
            </w:r>
          </w:p>
        </w:tc>
        <w:tc>
          <w:tcPr>
            <w:tcW w:w="536" w:type="dxa"/>
            <w:tcBorders>
              <w:top w:val="nil"/>
              <w:left w:val="nil"/>
              <w:bottom w:val="single" w:sz="4" w:space="0" w:color="auto"/>
              <w:right w:val="single" w:sz="4" w:space="0" w:color="auto"/>
            </w:tcBorders>
            <w:shd w:val="clear" w:color="auto" w:fill="auto"/>
            <w:noWrap/>
            <w:vAlign w:val="bottom"/>
            <w:hideMark/>
          </w:tcPr>
          <w:p w14:paraId="6F8A3E6B" w14:textId="77777777" w:rsidR="00421830" w:rsidRPr="00421830" w:rsidRDefault="00421830" w:rsidP="00421830">
            <w:pPr>
              <w:overflowPunct/>
              <w:autoSpaceDE/>
              <w:autoSpaceDN/>
              <w:adjustRightInd/>
              <w:spacing w:after="0"/>
              <w:jc w:val="right"/>
              <w:textAlignment w:val="auto"/>
              <w:rPr>
                <w:rFonts w:ascii="Calibri" w:hAnsi="Calibri"/>
                <w:color w:val="000000"/>
                <w:sz w:val="18"/>
                <w:szCs w:val="18"/>
              </w:rPr>
            </w:pPr>
            <w:r w:rsidRPr="00421830">
              <w:rPr>
                <w:rFonts w:ascii="Calibri" w:hAnsi="Calibri"/>
                <w:color w:val="000000"/>
                <w:sz w:val="18"/>
                <w:szCs w:val="18"/>
              </w:rPr>
              <w:t>10.5</w:t>
            </w:r>
          </w:p>
        </w:tc>
        <w:tc>
          <w:tcPr>
            <w:tcW w:w="3620" w:type="dxa"/>
            <w:tcBorders>
              <w:top w:val="nil"/>
              <w:left w:val="nil"/>
              <w:bottom w:val="single" w:sz="4" w:space="0" w:color="auto"/>
              <w:right w:val="single" w:sz="4" w:space="0" w:color="auto"/>
            </w:tcBorders>
            <w:shd w:val="clear" w:color="auto" w:fill="auto"/>
            <w:noWrap/>
            <w:vAlign w:val="bottom"/>
            <w:hideMark/>
          </w:tcPr>
          <w:p w14:paraId="25899059" w14:textId="77777777" w:rsidR="00421830" w:rsidRPr="00421830" w:rsidRDefault="00421830" w:rsidP="00421830">
            <w:pPr>
              <w:overflowPunct/>
              <w:autoSpaceDE/>
              <w:autoSpaceDN/>
              <w:adjustRightInd/>
              <w:spacing w:after="0"/>
              <w:textAlignment w:val="auto"/>
              <w:rPr>
                <w:rFonts w:ascii="Calibri" w:hAnsi="Calibri"/>
                <w:color w:val="000000"/>
                <w:sz w:val="18"/>
                <w:szCs w:val="18"/>
              </w:rPr>
            </w:pPr>
            <w:r w:rsidRPr="00421830">
              <w:rPr>
                <w:rFonts w:ascii="Calibri" w:hAnsi="Calibri"/>
                <w:color w:val="000000"/>
                <w:sz w:val="18"/>
                <w:szCs w:val="18"/>
              </w:rPr>
              <w:t> </w:t>
            </w:r>
          </w:p>
        </w:tc>
      </w:tr>
      <w:tr w:rsidR="00421830" w:rsidRPr="00421830" w14:paraId="3FC133BA" w14:textId="77777777" w:rsidTr="00940107">
        <w:trPr>
          <w:trHeight w:val="56"/>
          <w:jc w:val="center"/>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50F1EF" w14:textId="77777777" w:rsidR="00421830" w:rsidRPr="00421830" w:rsidRDefault="00421830" w:rsidP="00421830">
            <w:pPr>
              <w:overflowPunct/>
              <w:autoSpaceDE/>
              <w:autoSpaceDN/>
              <w:adjustRightInd/>
              <w:spacing w:after="0"/>
              <w:jc w:val="center"/>
              <w:textAlignment w:val="auto"/>
              <w:rPr>
                <w:rFonts w:ascii="Calibri" w:hAnsi="Calibri"/>
                <w:color w:val="000000"/>
                <w:sz w:val="18"/>
                <w:szCs w:val="18"/>
              </w:rPr>
            </w:pPr>
            <w:r w:rsidRPr="00421830">
              <w:rPr>
                <w:rFonts w:ascii="Calibri" w:hAnsi="Calibri"/>
                <w:color w:val="000000"/>
                <w:sz w:val="18"/>
                <w:szCs w:val="18"/>
              </w:rPr>
              <w:t>13dB NF based</w:t>
            </w:r>
          </w:p>
        </w:tc>
        <w:tc>
          <w:tcPr>
            <w:tcW w:w="880" w:type="dxa"/>
            <w:tcBorders>
              <w:top w:val="nil"/>
              <w:left w:val="nil"/>
              <w:bottom w:val="single" w:sz="4" w:space="0" w:color="auto"/>
              <w:right w:val="single" w:sz="4" w:space="0" w:color="auto"/>
            </w:tcBorders>
            <w:shd w:val="clear" w:color="auto" w:fill="auto"/>
            <w:noWrap/>
            <w:vAlign w:val="bottom"/>
            <w:hideMark/>
          </w:tcPr>
          <w:p w14:paraId="125E326C" w14:textId="77777777" w:rsidR="00421830" w:rsidRPr="00421830" w:rsidRDefault="00421830" w:rsidP="00421830">
            <w:pPr>
              <w:overflowPunct/>
              <w:autoSpaceDE/>
              <w:autoSpaceDN/>
              <w:adjustRightInd/>
              <w:spacing w:after="0"/>
              <w:jc w:val="center"/>
              <w:textAlignment w:val="auto"/>
              <w:rPr>
                <w:rFonts w:ascii="Calibri" w:hAnsi="Calibri"/>
                <w:color w:val="000000"/>
                <w:sz w:val="18"/>
                <w:szCs w:val="18"/>
              </w:rPr>
            </w:pPr>
            <w:r w:rsidRPr="00421830">
              <w:rPr>
                <w:rFonts w:ascii="Calibri" w:hAnsi="Calibri"/>
                <w:color w:val="000000"/>
                <w:sz w:val="18"/>
                <w:szCs w:val="18"/>
              </w:rPr>
              <w:t>-89.7</w:t>
            </w:r>
          </w:p>
        </w:tc>
        <w:tc>
          <w:tcPr>
            <w:tcW w:w="536" w:type="dxa"/>
            <w:tcBorders>
              <w:top w:val="nil"/>
              <w:left w:val="nil"/>
              <w:bottom w:val="single" w:sz="4" w:space="0" w:color="auto"/>
              <w:right w:val="single" w:sz="4" w:space="0" w:color="auto"/>
            </w:tcBorders>
            <w:shd w:val="clear" w:color="auto" w:fill="auto"/>
            <w:noWrap/>
            <w:vAlign w:val="bottom"/>
            <w:hideMark/>
          </w:tcPr>
          <w:p w14:paraId="42C10F7C" w14:textId="77777777" w:rsidR="00421830" w:rsidRPr="00421830" w:rsidRDefault="00421830" w:rsidP="00421830">
            <w:pPr>
              <w:overflowPunct/>
              <w:autoSpaceDE/>
              <w:autoSpaceDN/>
              <w:adjustRightInd/>
              <w:spacing w:after="0"/>
              <w:jc w:val="right"/>
              <w:textAlignment w:val="auto"/>
              <w:rPr>
                <w:rFonts w:ascii="Calibri" w:hAnsi="Calibri"/>
                <w:color w:val="000000"/>
                <w:sz w:val="18"/>
                <w:szCs w:val="18"/>
              </w:rPr>
            </w:pPr>
            <w:r w:rsidRPr="00421830">
              <w:rPr>
                <w:rFonts w:ascii="Calibri" w:hAnsi="Calibri"/>
                <w:color w:val="000000"/>
                <w:sz w:val="18"/>
                <w:szCs w:val="18"/>
              </w:rPr>
              <w:t>13.0</w:t>
            </w:r>
          </w:p>
        </w:tc>
        <w:tc>
          <w:tcPr>
            <w:tcW w:w="3620" w:type="dxa"/>
            <w:tcBorders>
              <w:top w:val="nil"/>
              <w:left w:val="nil"/>
              <w:bottom w:val="single" w:sz="4" w:space="0" w:color="auto"/>
              <w:right w:val="single" w:sz="4" w:space="0" w:color="auto"/>
            </w:tcBorders>
            <w:shd w:val="clear" w:color="auto" w:fill="auto"/>
            <w:noWrap/>
            <w:vAlign w:val="bottom"/>
            <w:hideMark/>
          </w:tcPr>
          <w:p w14:paraId="037BCF02" w14:textId="406396F1" w:rsidR="00421830" w:rsidRPr="00421830" w:rsidRDefault="00421830" w:rsidP="00421830">
            <w:pPr>
              <w:overflowPunct/>
              <w:autoSpaceDE/>
              <w:autoSpaceDN/>
              <w:adjustRightInd/>
              <w:spacing w:after="0"/>
              <w:textAlignment w:val="auto"/>
              <w:rPr>
                <w:rFonts w:ascii="Calibri" w:hAnsi="Calibri"/>
                <w:color w:val="000000"/>
                <w:sz w:val="18"/>
                <w:szCs w:val="18"/>
              </w:rPr>
            </w:pPr>
            <w:r>
              <w:rPr>
                <w:rFonts w:ascii="Calibri" w:hAnsi="Calibri"/>
                <w:color w:val="000000"/>
                <w:sz w:val="18"/>
                <w:szCs w:val="18"/>
              </w:rPr>
              <w:t>Equivalent to n46</w:t>
            </w:r>
          </w:p>
        </w:tc>
      </w:tr>
      <w:tr w:rsidR="00421830" w:rsidRPr="00421830" w14:paraId="40F6607E" w14:textId="77777777" w:rsidTr="00940107">
        <w:trPr>
          <w:trHeight w:val="56"/>
          <w:jc w:val="center"/>
        </w:trPr>
        <w:tc>
          <w:tcPr>
            <w:tcW w:w="266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1EA42A8" w14:textId="77777777" w:rsidR="00421830" w:rsidRPr="00421830" w:rsidRDefault="00421830" w:rsidP="00421830">
            <w:pPr>
              <w:overflowPunct/>
              <w:autoSpaceDE/>
              <w:autoSpaceDN/>
              <w:adjustRightInd/>
              <w:spacing w:after="0"/>
              <w:jc w:val="center"/>
              <w:textAlignment w:val="auto"/>
              <w:rPr>
                <w:rFonts w:ascii="Calibri" w:hAnsi="Calibri"/>
                <w:b/>
                <w:color w:val="000000"/>
                <w:sz w:val="18"/>
                <w:szCs w:val="18"/>
              </w:rPr>
            </w:pPr>
            <w:r w:rsidRPr="00421830">
              <w:rPr>
                <w:rFonts w:ascii="Calibri" w:hAnsi="Calibri"/>
                <w:b/>
                <w:color w:val="000000"/>
                <w:sz w:val="18"/>
                <w:szCs w:val="18"/>
              </w:rPr>
              <w:t>Average of above</w:t>
            </w:r>
          </w:p>
        </w:tc>
        <w:tc>
          <w:tcPr>
            <w:tcW w:w="880" w:type="dxa"/>
            <w:tcBorders>
              <w:top w:val="nil"/>
              <w:left w:val="nil"/>
              <w:bottom w:val="single" w:sz="4" w:space="0" w:color="auto"/>
              <w:right w:val="single" w:sz="4" w:space="0" w:color="auto"/>
            </w:tcBorders>
            <w:shd w:val="clear" w:color="auto" w:fill="auto"/>
            <w:noWrap/>
            <w:vAlign w:val="bottom"/>
            <w:hideMark/>
          </w:tcPr>
          <w:p w14:paraId="430C09F0" w14:textId="77777777" w:rsidR="00421830" w:rsidRPr="00421830" w:rsidRDefault="00421830" w:rsidP="00421830">
            <w:pPr>
              <w:overflowPunct/>
              <w:autoSpaceDE/>
              <w:autoSpaceDN/>
              <w:adjustRightInd/>
              <w:spacing w:after="0"/>
              <w:jc w:val="center"/>
              <w:textAlignment w:val="auto"/>
              <w:rPr>
                <w:rFonts w:ascii="Calibri" w:hAnsi="Calibri"/>
                <w:b/>
                <w:color w:val="000000"/>
                <w:sz w:val="18"/>
                <w:szCs w:val="18"/>
              </w:rPr>
            </w:pPr>
            <w:r w:rsidRPr="00421830">
              <w:rPr>
                <w:rFonts w:ascii="Calibri" w:hAnsi="Calibri"/>
                <w:b/>
                <w:color w:val="000000"/>
                <w:sz w:val="18"/>
                <w:szCs w:val="18"/>
              </w:rPr>
              <w:t>-91.1</w:t>
            </w:r>
          </w:p>
        </w:tc>
        <w:tc>
          <w:tcPr>
            <w:tcW w:w="536" w:type="dxa"/>
            <w:tcBorders>
              <w:top w:val="nil"/>
              <w:left w:val="nil"/>
              <w:bottom w:val="single" w:sz="4" w:space="0" w:color="auto"/>
              <w:right w:val="single" w:sz="4" w:space="0" w:color="auto"/>
            </w:tcBorders>
            <w:shd w:val="clear" w:color="auto" w:fill="auto"/>
            <w:noWrap/>
            <w:vAlign w:val="bottom"/>
            <w:hideMark/>
          </w:tcPr>
          <w:p w14:paraId="3FE60D09" w14:textId="77777777" w:rsidR="00421830" w:rsidRPr="00421830" w:rsidRDefault="00421830" w:rsidP="00421830">
            <w:pPr>
              <w:overflowPunct/>
              <w:autoSpaceDE/>
              <w:autoSpaceDN/>
              <w:adjustRightInd/>
              <w:spacing w:after="0"/>
              <w:jc w:val="right"/>
              <w:textAlignment w:val="auto"/>
              <w:rPr>
                <w:rFonts w:ascii="Calibri" w:hAnsi="Calibri"/>
                <w:b/>
                <w:color w:val="000000"/>
                <w:sz w:val="18"/>
                <w:szCs w:val="18"/>
              </w:rPr>
            </w:pPr>
            <w:r w:rsidRPr="00421830">
              <w:rPr>
                <w:rFonts w:ascii="Calibri" w:hAnsi="Calibri"/>
                <w:b/>
                <w:color w:val="000000"/>
                <w:sz w:val="18"/>
                <w:szCs w:val="18"/>
              </w:rPr>
              <w:t>11.6</w:t>
            </w:r>
          </w:p>
        </w:tc>
        <w:tc>
          <w:tcPr>
            <w:tcW w:w="3620" w:type="dxa"/>
            <w:tcBorders>
              <w:top w:val="nil"/>
              <w:left w:val="nil"/>
              <w:bottom w:val="single" w:sz="4" w:space="0" w:color="auto"/>
              <w:right w:val="single" w:sz="4" w:space="0" w:color="auto"/>
            </w:tcBorders>
            <w:shd w:val="clear" w:color="auto" w:fill="auto"/>
            <w:noWrap/>
            <w:vAlign w:val="bottom"/>
            <w:hideMark/>
          </w:tcPr>
          <w:p w14:paraId="778EEBBB" w14:textId="5E98FA93" w:rsidR="00421830" w:rsidRPr="00421830" w:rsidRDefault="00421830" w:rsidP="00421830">
            <w:pPr>
              <w:overflowPunct/>
              <w:autoSpaceDE/>
              <w:autoSpaceDN/>
              <w:adjustRightInd/>
              <w:spacing w:after="0"/>
              <w:textAlignment w:val="auto"/>
              <w:rPr>
                <w:rFonts w:ascii="Calibri" w:hAnsi="Calibri"/>
                <w:b/>
                <w:color w:val="000000"/>
                <w:sz w:val="18"/>
                <w:szCs w:val="18"/>
              </w:rPr>
            </w:pPr>
            <w:r w:rsidRPr="00421830">
              <w:rPr>
                <w:rFonts w:ascii="Calibri" w:hAnsi="Calibri"/>
                <w:b/>
                <w:color w:val="000000"/>
                <w:sz w:val="18"/>
                <w:szCs w:val="18"/>
              </w:rPr>
              <w:t> </w:t>
            </w:r>
            <w:proofErr w:type="gramStart"/>
            <w:r w:rsidR="00940107" w:rsidRPr="00940107">
              <w:rPr>
                <w:rFonts w:ascii="Calibri" w:hAnsi="Calibri"/>
                <w:b/>
                <w:color w:val="000000"/>
                <w:sz w:val="18"/>
                <w:szCs w:val="18"/>
              </w:rPr>
              <w:t>dB</w:t>
            </w:r>
            <w:proofErr w:type="gramEnd"/>
            <w:r w:rsidR="00940107" w:rsidRPr="00940107">
              <w:rPr>
                <w:rFonts w:ascii="Calibri" w:hAnsi="Calibri"/>
                <w:b/>
                <w:color w:val="000000"/>
                <w:sz w:val="18"/>
                <w:szCs w:val="18"/>
              </w:rPr>
              <w:t xml:space="preserve"> average!</w:t>
            </w:r>
          </w:p>
        </w:tc>
      </w:tr>
      <w:tr w:rsidR="00940107" w:rsidRPr="00421830" w14:paraId="58F232F0" w14:textId="77777777" w:rsidTr="00940107">
        <w:trPr>
          <w:trHeight w:val="56"/>
          <w:jc w:val="center"/>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70360F" w14:textId="0C5308EA" w:rsidR="00940107" w:rsidRPr="00940107" w:rsidRDefault="00940107" w:rsidP="00421830">
            <w:pPr>
              <w:overflowPunct/>
              <w:autoSpaceDE/>
              <w:autoSpaceDN/>
              <w:adjustRightInd/>
              <w:spacing w:after="0"/>
              <w:jc w:val="center"/>
              <w:textAlignment w:val="auto"/>
              <w:rPr>
                <w:rFonts w:ascii="Calibri" w:hAnsi="Calibri"/>
                <w:b/>
                <w:color w:val="000000"/>
                <w:sz w:val="18"/>
                <w:szCs w:val="18"/>
              </w:rPr>
            </w:pPr>
            <w:r w:rsidRPr="00421830">
              <w:rPr>
                <w:rFonts w:ascii="Calibri" w:hAnsi="Calibri"/>
                <w:b/>
                <w:color w:val="000000"/>
                <w:sz w:val="18"/>
                <w:szCs w:val="18"/>
              </w:rPr>
              <w:t>Average of above</w:t>
            </w:r>
          </w:p>
        </w:tc>
        <w:tc>
          <w:tcPr>
            <w:tcW w:w="880" w:type="dxa"/>
            <w:tcBorders>
              <w:top w:val="nil"/>
              <w:left w:val="nil"/>
              <w:bottom w:val="single" w:sz="4" w:space="0" w:color="auto"/>
              <w:right w:val="single" w:sz="4" w:space="0" w:color="auto"/>
            </w:tcBorders>
            <w:shd w:val="clear" w:color="auto" w:fill="auto"/>
            <w:noWrap/>
            <w:vAlign w:val="bottom"/>
          </w:tcPr>
          <w:p w14:paraId="01D6A409" w14:textId="2B17836C" w:rsidR="00940107" w:rsidRPr="00940107" w:rsidRDefault="00940107" w:rsidP="00421830">
            <w:pPr>
              <w:overflowPunct/>
              <w:autoSpaceDE/>
              <w:autoSpaceDN/>
              <w:adjustRightInd/>
              <w:spacing w:after="0"/>
              <w:jc w:val="center"/>
              <w:textAlignment w:val="auto"/>
              <w:rPr>
                <w:rFonts w:ascii="Calibri" w:hAnsi="Calibri"/>
                <w:b/>
                <w:color w:val="000000"/>
                <w:sz w:val="18"/>
                <w:szCs w:val="18"/>
              </w:rPr>
            </w:pPr>
            <w:r w:rsidRPr="00940107">
              <w:rPr>
                <w:rFonts w:ascii="Calibri" w:hAnsi="Calibri"/>
                <w:b/>
                <w:color w:val="000000"/>
                <w:sz w:val="18"/>
                <w:szCs w:val="18"/>
              </w:rPr>
              <w:t>-91.0</w:t>
            </w:r>
          </w:p>
        </w:tc>
        <w:tc>
          <w:tcPr>
            <w:tcW w:w="536" w:type="dxa"/>
            <w:tcBorders>
              <w:top w:val="nil"/>
              <w:left w:val="nil"/>
              <w:bottom w:val="single" w:sz="4" w:space="0" w:color="auto"/>
              <w:right w:val="single" w:sz="4" w:space="0" w:color="auto"/>
            </w:tcBorders>
            <w:shd w:val="clear" w:color="auto" w:fill="auto"/>
            <w:noWrap/>
            <w:vAlign w:val="bottom"/>
          </w:tcPr>
          <w:p w14:paraId="225FA4CB" w14:textId="401980E7" w:rsidR="00940107" w:rsidRPr="00940107" w:rsidRDefault="00940107" w:rsidP="00421830">
            <w:pPr>
              <w:overflowPunct/>
              <w:autoSpaceDE/>
              <w:autoSpaceDN/>
              <w:adjustRightInd/>
              <w:spacing w:after="0"/>
              <w:jc w:val="right"/>
              <w:textAlignment w:val="auto"/>
              <w:rPr>
                <w:rFonts w:ascii="Calibri" w:hAnsi="Calibri"/>
                <w:b/>
                <w:color w:val="000000"/>
                <w:sz w:val="18"/>
                <w:szCs w:val="18"/>
              </w:rPr>
            </w:pPr>
            <w:r w:rsidRPr="00940107">
              <w:rPr>
                <w:rFonts w:ascii="Calibri" w:hAnsi="Calibri"/>
                <w:b/>
                <w:color w:val="000000"/>
                <w:sz w:val="18"/>
                <w:szCs w:val="18"/>
              </w:rPr>
              <w:t>11.7</w:t>
            </w:r>
          </w:p>
        </w:tc>
        <w:tc>
          <w:tcPr>
            <w:tcW w:w="3620" w:type="dxa"/>
            <w:tcBorders>
              <w:top w:val="nil"/>
              <w:left w:val="nil"/>
              <w:bottom w:val="single" w:sz="4" w:space="0" w:color="auto"/>
              <w:right w:val="single" w:sz="4" w:space="0" w:color="auto"/>
            </w:tcBorders>
            <w:shd w:val="clear" w:color="auto" w:fill="auto"/>
            <w:noWrap/>
            <w:vAlign w:val="bottom"/>
          </w:tcPr>
          <w:p w14:paraId="4A41CA14" w14:textId="5329A9B5" w:rsidR="00940107" w:rsidRPr="00940107" w:rsidRDefault="00940107" w:rsidP="00421830">
            <w:pPr>
              <w:overflowPunct/>
              <w:autoSpaceDE/>
              <w:autoSpaceDN/>
              <w:adjustRightInd/>
              <w:spacing w:after="0"/>
              <w:textAlignment w:val="auto"/>
              <w:rPr>
                <w:rFonts w:ascii="Calibri" w:hAnsi="Calibri"/>
                <w:b/>
                <w:color w:val="000000"/>
                <w:sz w:val="18"/>
                <w:szCs w:val="18"/>
              </w:rPr>
            </w:pPr>
            <w:r w:rsidRPr="00940107">
              <w:rPr>
                <w:rFonts w:ascii="Calibri" w:hAnsi="Calibri"/>
                <w:b/>
                <w:color w:val="000000"/>
                <w:sz w:val="18"/>
                <w:szCs w:val="18"/>
              </w:rPr>
              <w:t>Linear average</w:t>
            </w:r>
          </w:p>
        </w:tc>
      </w:tr>
      <w:tr w:rsidR="00940107" w:rsidRPr="00421830" w14:paraId="1263ED94" w14:textId="77777777" w:rsidTr="00940107">
        <w:trPr>
          <w:trHeight w:val="56"/>
          <w:jc w:val="center"/>
        </w:trPr>
        <w:tc>
          <w:tcPr>
            <w:tcW w:w="266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46E0897B" w14:textId="77777777" w:rsidR="00940107" w:rsidRPr="00421830" w:rsidRDefault="00940107" w:rsidP="00421830">
            <w:pPr>
              <w:overflowPunct/>
              <w:autoSpaceDE/>
              <w:autoSpaceDN/>
              <w:adjustRightInd/>
              <w:spacing w:after="0"/>
              <w:jc w:val="center"/>
              <w:textAlignment w:val="auto"/>
              <w:rPr>
                <w:rFonts w:ascii="Calibri" w:hAnsi="Calibri"/>
                <w:color w:val="000000"/>
                <w:sz w:val="18"/>
                <w:szCs w:val="18"/>
              </w:rPr>
            </w:pPr>
            <w:r w:rsidRPr="00421830">
              <w:rPr>
                <w:rFonts w:ascii="Calibri" w:hAnsi="Calibri"/>
                <w:color w:val="000000"/>
                <w:sz w:val="18"/>
                <w:szCs w:val="18"/>
              </w:rPr>
              <w:t>n96 based</w:t>
            </w:r>
          </w:p>
        </w:tc>
        <w:tc>
          <w:tcPr>
            <w:tcW w:w="880" w:type="dxa"/>
            <w:tcBorders>
              <w:top w:val="nil"/>
              <w:left w:val="nil"/>
              <w:bottom w:val="single" w:sz="4" w:space="0" w:color="auto"/>
              <w:right w:val="single" w:sz="4" w:space="0" w:color="auto"/>
            </w:tcBorders>
            <w:shd w:val="clear" w:color="000000" w:fill="FFFF00"/>
            <w:noWrap/>
            <w:hideMark/>
          </w:tcPr>
          <w:p w14:paraId="2F070701" w14:textId="77777777" w:rsidR="00940107" w:rsidRPr="00421830" w:rsidRDefault="00940107" w:rsidP="00421830">
            <w:pPr>
              <w:overflowPunct/>
              <w:autoSpaceDE/>
              <w:autoSpaceDN/>
              <w:adjustRightInd/>
              <w:spacing w:after="0"/>
              <w:jc w:val="center"/>
              <w:textAlignment w:val="auto"/>
              <w:rPr>
                <w:rFonts w:ascii="Calibri" w:hAnsi="Calibri"/>
                <w:color w:val="000000"/>
                <w:sz w:val="18"/>
                <w:szCs w:val="18"/>
              </w:rPr>
            </w:pPr>
            <w:r w:rsidRPr="00421830">
              <w:rPr>
                <w:rFonts w:ascii="Calibri" w:hAnsi="Calibri"/>
                <w:color w:val="000000"/>
                <w:sz w:val="18"/>
                <w:szCs w:val="18"/>
              </w:rPr>
              <w:t>-89.2</w:t>
            </w:r>
          </w:p>
        </w:tc>
        <w:tc>
          <w:tcPr>
            <w:tcW w:w="536" w:type="dxa"/>
            <w:tcBorders>
              <w:top w:val="nil"/>
              <w:left w:val="nil"/>
              <w:bottom w:val="single" w:sz="4" w:space="0" w:color="auto"/>
              <w:right w:val="single" w:sz="4" w:space="0" w:color="auto"/>
            </w:tcBorders>
            <w:shd w:val="clear" w:color="000000" w:fill="FFFF00"/>
            <w:noWrap/>
            <w:vAlign w:val="bottom"/>
            <w:hideMark/>
          </w:tcPr>
          <w:p w14:paraId="3BA48A9A" w14:textId="77777777" w:rsidR="00940107" w:rsidRPr="00421830" w:rsidRDefault="00940107" w:rsidP="00421830">
            <w:pPr>
              <w:overflowPunct/>
              <w:autoSpaceDE/>
              <w:autoSpaceDN/>
              <w:adjustRightInd/>
              <w:spacing w:after="0"/>
              <w:jc w:val="right"/>
              <w:textAlignment w:val="auto"/>
              <w:rPr>
                <w:rFonts w:ascii="Calibri" w:hAnsi="Calibri"/>
                <w:color w:val="000000"/>
                <w:sz w:val="18"/>
                <w:szCs w:val="18"/>
              </w:rPr>
            </w:pPr>
            <w:r w:rsidRPr="00421830">
              <w:rPr>
                <w:rFonts w:ascii="Calibri" w:hAnsi="Calibri"/>
                <w:color w:val="000000"/>
                <w:sz w:val="18"/>
                <w:szCs w:val="18"/>
              </w:rPr>
              <w:t>13.5</w:t>
            </w:r>
          </w:p>
        </w:tc>
        <w:tc>
          <w:tcPr>
            <w:tcW w:w="3620" w:type="dxa"/>
            <w:tcBorders>
              <w:top w:val="nil"/>
              <w:left w:val="nil"/>
              <w:bottom w:val="single" w:sz="4" w:space="0" w:color="auto"/>
              <w:right w:val="single" w:sz="4" w:space="0" w:color="auto"/>
            </w:tcBorders>
            <w:shd w:val="clear" w:color="000000" w:fill="FFFF00"/>
            <w:noWrap/>
            <w:vAlign w:val="bottom"/>
            <w:hideMark/>
          </w:tcPr>
          <w:p w14:paraId="32661C99" w14:textId="77777777" w:rsidR="00940107" w:rsidRPr="00421830" w:rsidRDefault="00940107" w:rsidP="00421830">
            <w:pPr>
              <w:overflowPunct/>
              <w:autoSpaceDE/>
              <w:autoSpaceDN/>
              <w:adjustRightInd/>
              <w:spacing w:after="0"/>
              <w:textAlignment w:val="auto"/>
              <w:rPr>
                <w:rFonts w:ascii="Calibri" w:hAnsi="Calibri"/>
                <w:color w:val="000000"/>
                <w:sz w:val="18"/>
                <w:szCs w:val="18"/>
              </w:rPr>
            </w:pPr>
            <w:r w:rsidRPr="00421830">
              <w:rPr>
                <w:rFonts w:ascii="Calibri" w:hAnsi="Calibri"/>
                <w:color w:val="000000"/>
                <w:sz w:val="18"/>
                <w:szCs w:val="18"/>
              </w:rPr>
              <w:t>Same band but &gt; range provided to ITU</w:t>
            </w:r>
          </w:p>
        </w:tc>
      </w:tr>
      <w:tr w:rsidR="00940107" w:rsidRPr="00421830" w14:paraId="1AE73D5D" w14:textId="77777777" w:rsidTr="00940107">
        <w:trPr>
          <w:trHeight w:val="56"/>
          <w:jc w:val="center"/>
        </w:trPr>
        <w:tc>
          <w:tcPr>
            <w:tcW w:w="266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1E9E11FF" w14:textId="77777777" w:rsidR="00940107" w:rsidRPr="00421830" w:rsidRDefault="00940107" w:rsidP="00421830">
            <w:pPr>
              <w:overflowPunct/>
              <w:autoSpaceDE/>
              <w:autoSpaceDN/>
              <w:adjustRightInd/>
              <w:spacing w:after="0"/>
              <w:jc w:val="center"/>
              <w:textAlignment w:val="auto"/>
              <w:rPr>
                <w:rFonts w:ascii="Calibri" w:hAnsi="Calibri"/>
                <w:color w:val="000000"/>
                <w:sz w:val="18"/>
                <w:szCs w:val="18"/>
              </w:rPr>
            </w:pPr>
            <w:r w:rsidRPr="00421830">
              <w:rPr>
                <w:rFonts w:ascii="Calibri" w:hAnsi="Calibri"/>
                <w:color w:val="000000"/>
                <w:sz w:val="18"/>
                <w:szCs w:val="18"/>
              </w:rPr>
              <w:t>n79 based</w:t>
            </w:r>
          </w:p>
        </w:tc>
        <w:tc>
          <w:tcPr>
            <w:tcW w:w="880" w:type="dxa"/>
            <w:tcBorders>
              <w:top w:val="nil"/>
              <w:left w:val="nil"/>
              <w:bottom w:val="single" w:sz="4" w:space="0" w:color="auto"/>
              <w:right w:val="single" w:sz="4" w:space="0" w:color="auto"/>
            </w:tcBorders>
            <w:shd w:val="clear" w:color="000000" w:fill="FFFF00"/>
            <w:noWrap/>
            <w:vAlign w:val="bottom"/>
            <w:hideMark/>
          </w:tcPr>
          <w:p w14:paraId="31252533" w14:textId="77777777" w:rsidR="00940107" w:rsidRPr="00421830" w:rsidRDefault="00940107" w:rsidP="00421830">
            <w:pPr>
              <w:overflowPunct/>
              <w:autoSpaceDE/>
              <w:autoSpaceDN/>
              <w:adjustRightInd/>
              <w:spacing w:after="0"/>
              <w:jc w:val="center"/>
              <w:textAlignment w:val="auto"/>
              <w:rPr>
                <w:rFonts w:ascii="Calibri" w:hAnsi="Calibri"/>
                <w:color w:val="000000"/>
                <w:sz w:val="18"/>
                <w:szCs w:val="18"/>
              </w:rPr>
            </w:pPr>
            <w:r w:rsidRPr="00421830">
              <w:rPr>
                <w:rFonts w:ascii="Calibri" w:hAnsi="Calibri"/>
                <w:color w:val="000000"/>
                <w:sz w:val="18"/>
                <w:szCs w:val="18"/>
              </w:rPr>
              <w:t>-92.7</w:t>
            </w:r>
          </w:p>
        </w:tc>
        <w:tc>
          <w:tcPr>
            <w:tcW w:w="536" w:type="dxa"/>
            <w:tcBorders>
              <w:top w:val="nil"/>
              <w:left w:val="nil"/>
              <w:bottom w:val="single" w:sz="4" w:space="0" w:color="auto"/>
              <w:right w:val="single" w:sz="4" w:space="0" w:color="auto"/>
            </w:tcBorders>
            <w:shd w:val="clear" w:color="000000" w:fill="FFFF00"/>
            <w:noWrap/>
            <w:vAlign w:val="bottom"/>
            <w:hideMark/>
          </w:tcPr>
          <w:p w14:paraId="7910ECE4" w14:textId="77777777" w:rsidR="00940107" w:rsidRPr="00421830" w:rsidRDefault="00940107" w:rsidP="00421830">
            <w:pPr>
              <w:overflowPunct/>
              <w:autoSpaceDE/>
              <w:autoSpaceDN/>
              <w:adjustRightInd/>
              <w:spacing w:after="0"/>
              <w:jc w:val="right"/>
              <w:textAlignment w:val="auto"/>
              <w:rPr>
                <w:rFonts w:ascii="Calibri" w:hAnsi="Calibri"/>
                <w:color w:val="000000"/>
                <w:sz w:val="18"/>
                <w:szCs w:val="18"/>
              </w:rPr>
            </w:pPr>
            <w:r w:rsidRPr="00421830">
              <w:rPr>
                <w:rFonts w:ascii="Calibri" w:hAnsi="Calibri"/>
                <w:color w:val="000000"/>
                <w:sz w:val="18"/>
                <w:szCs w:val="18"/>
              </w:rPr>
              <w:t>10.0</w:t>
            </w:r>
          </w:p>
        </w:tc>
        <w:tc>
          <w:tcPr>
            <w:tcW w:w="3620" w:type="dxa"/>
            <w:tcBorders>
              <w:top w:val="nil"/>
              <w:left w:val="nil"/>
              <w:bottom w:val="single" w:sz="4" w:space="0" w:color="auto"/>
              <w:right w:val="single" w:sz="4" w:space="0" w:color="auto"/>
            </w:tcBorders>
            <w:shd w:val="clear" w:color="000000" w:fill="FFFF00"/>
            <w:noWrap/>
            <w:vAlign w:val="bottom"/>
            <w:hideMark/>
          </w:tcPr>
          <w:p w14:paraId="195CDF17" w14:textId="3F9DC211" w:rsidR="00940107" w:rsidRPr="00421830" w:rsidRDefault="00940107" w:rsidP="00421830">
            <w:pPr>
              <w:overflowPunct/>
              <w:autoSpaceDE/>
              <w:autoSpaceDN/>
              <w:adjustRightInd/>
              <w:spacing w:after="0"/>
              <w:textAlignment w:val="auto"/>
              <w:rPr>
                <w:rFonts w:ascii="Calibri" w:hAnsi="Calibri"/>
                <w:color w:val="000000"/>
                <w:sz w:val="18"/>
                <w:szCs w:val="18"/>
              </w:rPr>
            </w:pPr>
            <w:r>
              <w:rPr>
                <w:rFonts w:ascii="Calibri" w:hAnsi="Calibri"/>
                <w:color w:val="000000"/>
                <w:sz w:val="18"/>
                <w:szCs w:val="18"/>
              </w:rPr>
              <w:t>N</w:t>
            </w:r>
            <w:r w:rsidRPr="00421830">
              <w:rPr>
                <w:rFonts w:ascii="Calibri" w:hAnsi="Calibri"/>
                <w:color w:val="000000"/>
                <w:sz w:val="18"/>
                <w:szCs w:val="18"/>
              </w:rPr>
              <w:t>ot realistic as the band is 2GHz above</w:t>
            </w:r>
          </w:p>
        </w:tc>
      </w:tr>
    </w:tbl>
    <w:p w14:paraId="42C6C1C6" w14:textId="77777777" w:rsidR="00421830" w:rsidRPr="00421830" w:rsidRDefault="00421830" w:rsidP="00421830">
      <w:pPr>
        <w:spacing w:after="0"/>
      </w:pPr>
    </w:p>
    <w:p w14:paraId="4AE9B56B" w14:textId="77777777" w:rsidR="00A612A5" w:rsidRDefault="00A612A5" w:rsidP="00A612A5">
      <w:pPr>
        <w:spacing w:after="0"/>
      </w:pPr>
      <w:r>
        <w:t xml:space="preserve">Based on these different scaling scenarios the REFSENS could range from -89.2 to -92.7 </w:t>
      </w:r>
      <w:proofErr w:type="spellStart"/>
      <w:r>
        <w:t>dBm</w:t>
      </w:r>
      <w:proofErr w:type="spellEnd"/>
      <w:r>
        <w:t xml:space="preserve"> but some may not be reasonable:</w:t>
      </w:r>
    </w:p>
    <w:p w14:paraId="7A580A05" w14:textId="5540BC26" w:rsidR="00A612A5" w:rsidRDefault="00A612A5" w:rsidP="00A612A5">
      <w:pPr>
        <w:pStyle w:val="ListParagraph"/>
        <w:numPr>
          <w:ilvl w:val="0"/>
          <w:numId w:val="29"/>
        </w:numPr>
      </w:pPr>
      <w:r>
        <w:t>reusing n79 is not reasonable 2GHz above in frequency</w:t>
      </w:r>
    </w:p>
    <w:p w14:paraId="2F7EE030" w14:textId="7E16D5F5" w:rsidR="00A612A5" w:rsidRDefault="00A612A5" w:rsidP="00A612A5">
      <w:pPr>
        <w:pStyle w:val="ListParagraph"/>
        <w:numPr>
          <w:ilvl w:val="0"/>
          <w:numId w:val="29"/>
        </w:numPr>
      </w:pPr>
      <w:r>
        <w:t>n96 based NF is 0.5dB higher than the range already provided to ITU</w:t>
      </w:r>
    </w:p>
    <w:p w14:paraId="316B57DF" w14:textId="35B55449" w:rsidR="00A612A5" w:rsidRPr="00A612A5" w:rsidRDefault="00A612A5" w:rsidP="00A612A5">
      <w:r>
        <w:t>Th</w:t>
      </w:r>
      <w:r w:rsidR="00F05E71">
        <w:t>erefore,</w:t>
      </w:r>
      <w:r>
        <w:t xml:space="preserve"> the range to choose from is rather -89.7 to -92.</w:t>
      </w:r>
      <w:r w:rsidR="00421830">
        <w:t>2</w:t>
      </w:r>
      <w:r>
        <w:t xml:space="preserve"> </w:t>
      </w:r>
      <w:proofErr w:type="spellStart"/>
      <w:r>
        <w:t>dBm</w:t>
      </w:r>
      <w:proofErr w:type="spellEnd"/>
      <w:r w:rsidR="00940107">
        <w:t xml:space="preserve"> a</w:t>
      </w:r>
      <w:r w:rsidR="00421830">
        <w:t>nd the average of the different valid</w:t>
      </w:r>
      <w:r w:rsidR="00940107">
        <w:t xml:space="preserve"> scaling</w:t>
      </w:r>
      <w:r w:rsidR="00421830">
        <w:t xml:space="preserve"> scenarios is </w:t>
      </w:r>
      <w:r w:rsidR="00940107">
        <w:t xml:space="preserve">~ </w:t>
      </w:r>
      <w:r w:rsidR="00421830">
        <w:t>-91dBm</w:t>
      </w:r>
      <w:r w:rsidR="00940107">
        <w:t>.</w:t>
      </w:r>
    </w:p>
    <w:p w14:paraId="23F4AD35" w14:textId="62564B64" w:rsidR="00C9251A" w:rsidRDefault="00C9251A" w:rsidP="00C9251A">
      <w:pPr>
        <w:pStyle w:val="Heading2"/>
        <w:spacing w:after="240"/>
        <w:rPr>
          <w:lang w:eastAsia="zh-CN"/>
        </w:rPr>
      </w:pPr>
      <w:r>
        <w:rPr>
          <w:lang w:eastAsia="zh-CN"/>
        </w:rPr>
        <w:t>Architecture considerations</w:t>
      </w:r>
    </w:p>
    <w:p w14:paraId="7EF4D5A1" w14:textId="086F4286" w:rsidR="00940107" w:rsidRDefault="00421830" w:rsidP="00421830">
      <w:pPr>
        <w:rPr>
          <w:lang w:val="en-GB" w:eastAsia="zh-CN"/>
        </w:rPr>
      </w:pPr>
      <w:r>
        <w:rPr>
          <w:lang w:val="en-GB" w:eastAsia="zh-CN"/>
        </w:rPr>
        <w:t>Although we agree that n96 REFSENS is too high for the 6GHz licensed given that is already communicated to ITU, we think the HW reuse between the 6GHz licensed band and n96/n102 and to some extent n46 is still needed, at a minimum they will share antennas and thus some multiplexing losses need to be taken into account.</w:t>
      </w:r>
    </w:p>
    <w:p w14:paraId="3B5845D2" w14:textId="2F57C587" w:rsidR="00940107" w:rsidRPr="00421830" w:rsidRDefault="00940107" w:rsidP="00421830">
      <w:pPr>
        <w:rPr>
          <w:lang w:val="en-GB" w:eastAsia="zh-CN"/>
        </w:rPr>
      </w:pPr>
      <w:r>
        <w:rPr>
          <w:lang w:val="en-GB" w:eastAsia="zh-CN"/>
        </w:rPr>
        <w:t>Based on the need for antenna reuse</w:t>
      </w:r>
      <w:r w:rsidR="00F05E71">
        <w:rPr>
          <w:lang w:val="en-GB" w:eastAsia="zh-CN"/>
        </w:rPr>
        <w:t>,</w:t>
      </w:r>
      <w:r>
        <w:rPr>
          <w:lang w:val="en-GB" w:eastAsia="zh-CN"/>
        </w:rPr>
        <w:t xml:space="preserve"> a NF assumption of 11.5dB is appropriate</w:t>
      </w:r>
      <w:r w:rsidR="00083E2C">
        <w:rPr>
          <w:lang w:val="en-GB" w:eastAsia="zh-CN"/>
        </w:rPr>
        <w:t xml:space="preserve"> further accounting for the 2GHz frequency increase vs n79 </w:t>
      </w:r>
      <w:r>
        <w:rPr>
          <w:lang w:val="en-GB" w:eastAsia="zh-CN"/>
        </w:rPr>
        <w:t xml:space="preserve">and very close to the average calculated from the valid scaling scenarios which correspond to a -91.2dBm REFSENS at 20MHz and </w:t>
      </w:r>
      <w:proofErr w:type="gramStart"/>
      <w:r>
        <w:rPr>
          <w:lang w:val="en-GB" w:eastAsia="zh-CN"/>
        </w:rPr>
        <w:t>15kHz</w:t>
      </w:r>
      <w:proofErr w:type="gramEnd"/>
      <w:r>
        <w:rPr>
          <w:lang w:val="en-GB" w:eastAsia="zh-CN"/>
        </w:rPr>
        <w:t xml:space="preserve"> SCS</w:t>
      </w:r>
      <w:r w:rsidR="00083E2C">
        <w:rPr>
          <w:lang w:val="en-GB" w:eastAsia="zh-CN"/>
        </w:rPr>
        <w:t>.</w:t>
      </w:r>
    </w:p>
    <w:p w14:paraId="4133E73F" w14:textId="0CDA4CE3" w:rsidR="00A562EF" w:rsidRPr="00083E2C" w:rsidRDefault="00A562EF" w:rsidP="00940107">
      <w:pPr>
        <w:spacing w:after="0"/>
        <w:rPr>
          <w:b/>
          <w:lang w:eastAsia="zh-CN"/>
        </w:rPr>
      </w:pPr>
      <w:r w:rsidRPr="00083E2C">
        <w:rPr>
          <w:b/>
          <w:lang w:eastAsia="zh-CN"/>
        </w:rPr>
        <w:t xml:space="preserve">Proposal: </w:t>
      </w:r>
      <w:r w:rsidR="00940107" w:rsidRPr="00083E2C">
        <w:rPr>
          <w:b/>
          <w:lang w:eastAsia="zh-CN"/>
        </w:rPr>
        <w:t xml:space="preserve">11.5dB NF figure is assumed for </w:t>
      </w:r>
      <w:r w:rsidR="00083E2C" w:rsidRPr="00083E2C">
        <w:rPr>
          <w:b/>
          <w:lang w:eastAsia="zh-CN"/>
        </w:rPr>
        <w:t>6GHz licensed band (</w:t>
      </w:r>
      <w:r w:rsidR="00083E2C" w:rsidRPr="00083E2C">
        <w:rPr>
          <w:b/>
          <w:lang w:val="en-GB" w:eastAsia="zh-CN"/>
        </w:rPr>
        <w:t xml:space="preserve">-91.2dBm REFSENS at 20MHz and </w:t>
      </w:r>
      <w:proofErr w:type="gramStart"/>
      <w:r w:rsidR="00083E2C" w:rsidRPr="00083E2C">
        <w:rPr>
          <w:b/>
          <w:lang w:val="en-GB" w:eastAsia="zh-CN"/>
        </w:rPr>
        <w:t>15kHz</w:t>
      </w:r>
      <w:proofErr w:type="gramEnd"/>
      <w:r w:rsidR="00083E2C" w:rsidRPr="00083E2C">
        <w:rPr>
          <w:b/>
          <w:lang w:val="en-GB" w:eastAsia="zh-CN"/>
        </w:rPr>
        <w:t xml:space="preserve"> SCS).</w:t>
      </w:r>
    </w:p>
    <w:p w14:paraId="7BE54F94" w14:textId="77777777" w:rsidR="00305289" w:rsidRDefault="00305289" w:rsidP="00305289">
      <w:pPr>
        <w:pStyle w:val="Heading1"/>
      </w:pPr>
      <w:r>
        <w:t>Conclusions</w:t>
      </w:r>
    </w:p>
    <w:p w14:paraId="3C251E6A" w14:textId="5DF61395" w:rsidR="006E4FCE" w:rsidRDefault="00305289" w:rsidP="00FE650D">
      <w:pPr>
        <w:spacing w:after="0"/>
        <w:jc w:val="both"/>
      </w:pPr>
      <w:r>
        <w:t xml:space="preserve">In this contribution, </w:t>
      </w:r>
      <w:r w:rsidR="009B4F03">
        <w:t xml:space="preserve">we </w:t>
      </w:r>
      <w:r w:rsidR="00233402">
        <w:t>discuss</w:t>
      </w:r>
      <w:r w:rsidR="00A562EF">
        <w:t xml:space="preserve"> </w:t>
      </w:r>
      <w:r w:rsidR="00233402">
        <w:t xml:space="preserve">the </w:t>
      </w:r>
      <w:r w:rsidR="002A3E7C">
        <w:t xml:space="preserve">6GHz licensed band </w:t>
      </w:r>
      <w:r w:rsidR="00083E2C">
        <w:t>REFSENS</w:t>
      </w:r>
      <w:r w:rsidR="00A562EF">
        <w:t xml:space="preserve"> requirements </w:t>
      </w:r>
      <w:r w:rsidR="00083E2C">
        <w:t xml:space="preserve">based on scaling from other bands &gt;2GHz and antenna combining architecture and </w:t>
      </w:r>
      <w:r w:rsidR="00A562EF">
        <w:t>formulate the following proposal.</w:t>
      </w:r>
    </w:p>
    <w:p w14:paraId="3092A32B" w14:textId="77777777" w:rsidR="00610CD6" w:rsidRDefault="00610CD6" w:rsidP="00FE650D">
      <w:pPr>
        <w:spacing w:after="0"/>
        <w:jc w:val="both"/>
      </w:pPr>
    </w:p>
    <w:p w14:paraId="4DC5D9EB" w14:textId="77777777" w:rsidR="00083E2C" w:rsidRPr="00083E2C" w:rsidRDefault="00083E2C" w:rsidP="00083E2C">
      <w:pPr>
        <w:spacing w:after="0"/>
        <w:rPr>
          <w:b/>
          <w:lang w:eastAsia="zh-CN"/>
        </w:rPr>
      </w:pPr>
      <w:r w:rsidRPr="00083E2C">
        <w:rPr>
          <w:b/>
          <w:lang w:eastAsia="zh-CN"/>
        </w:rPr>
        <w:t>Proposal: 11.5dB NF figure is assumed for 6GHz licensed band (</w:t>
      </w:r>
      <w:r w:rsidRPr="00083E2C">
        <w:rPr>
          <w:b/>
          <w:lang w:val="en-GB" w:eastAsia="zh-CN"/>
        </w:rPr>
        <w:t xml:space="preserve">-91.2dBm REFSENS at 20MHz and </w:t>
      </w:r>
      <w:proofErr w:type="gramStart"/>
      <w:r w:rsidRPr="00083E2C">
        <w:rPr>
          <w:b/>
          <w:lang w:val="en-GB" w:eastAsia="zh-CN"/>
        </w:rPr>
        <w:t>15kHz</w:t>
      </w:r>
      <w:proofErr w:type="gramEnd"/>
      <w:r w:rsidRPr="00083E2C">
        <w:rPr>
          <w:b/>
          <w:lang w:val="en-GB" w:eastAsia="zh-CN"/>
        </w:rPr>
        <w:t xml:space="preserve"> SCS).</w:t>
      </w:r>
    </w:p>
    <w:p w14:paraId="03D6921F" w14:textId="77777777" w:rsidR="00F10F97" w:rsidRDefault="007321E3" w:rsidP="00C8525F">
      <w:pPr>
        <w:pStyle w:val="Heading1"/>
        <w:numPr>
          <w:ilvl w:val="0"/>
          <w:numId w:val="0"/>
        </w:numPr>
        <w:jc w:val="both"/>
      </w:pPr>
      <w:r>
        <w:t>R</w:t>
      </w:r>
      <w:r w:rsidR="00F10F97">
        <w:t>eferences</w:t>
      </w:r>
    </w:p>
    <w:p w14:paraId="5A60208D" w14:textId="77777777" w:rsidR="004463F3" w:rsidRPr="00292F35" w:rsidRDefault="004463F3" w:rsidP="004463F3">
      <w:pPr>
        <w:pStyle w:val="ListParagraph"/>
        <w:widowControl w:val="0"/>
        <w:numPr>
          <w:ilvl w:val="0"/>
          <w:numId w:val="11"/>
        </w:numPr>
        <w:snapToGrid w:val="0"/>
      </w:pPr>
      <w:r w:rsidRPr="00AC4489">
        <w:t>RP-213605</w:t>
      </w:r>
      <w:r>
        <w:t xml:space="preserve">, </w:t>
      </w:r>
      <w:r w:rsidRPr="003C737C">
        <w:rPr>
          <w:lang w:val="en-GB" w:eastAsia="zh-CN"/>
        </w:rPr>
        <w:t>RCC Recommendation 1/21, “Harmonization of the technical conditions for 5G-NR / IMT-2020 systems in the RCC countries in the frequency band 6 425-7 125 MHz or in its portions” RCC Commission for the Regulation of the Usage of the Radio Frequency Spectrum and Satellite Orbits</w:t>
      </w:r>
      <w:r>
        <w:rPr>
          <w:lang w:val="en-GB" w:eastAsia="zh-CN"/>
        </w:rPr>
        <w:t xml:space="preserve">, </w:t>
      </w:r>
      <w:r w:rsidRPr="003C737C">
        <w:rPr>
          <w:lang w:val="en-GB" w:eastAsia="zh-CN"/>
        </w:rPr>
        <w:t>Document: Commission Decision 20/5 Annex 1, December 2021</w:t>
      </w:r>
    </w:p>
    <w:p w14:paraId="358B2654" w14:textId="6389539A" w:rsidR="00292F35" w:rsidRDefault="00292F35" w:rsidP="00292F35">
      <w:pPr>
        <w:pStyle w:val="ListParagraph"/>
        <w:widowControl w:val="0"/>
        <w:numPr>
          <w:ilvl w:val="0"/>
          <w:numId w:val="11"/>
        </w:numPr>
        <w:snapToGrid w:val="0"/>
      </w:pPr>
      <w:r w:rsidRPr="00292F35">
        <w:t>R4-2202267</w:t>
      </w:r>
      <w:r>
        <w:t xml:space="preserve"> </w:t>
      </w:r>
      <w:r w:rsidRPr="00292F35">
        <w:t>WF on UE RF requirements for 6GHz licensed band</w:t>
      </w:r>
      <w:r>
        <w:t>, Ericsson, R4#101b-e</w:t>
      </w:r>
    </w:p>
    <w:p w14:paraId="621B9CA8" w14:textId="35BC8962" w:rsidR="00292F35" w:rsidRPr="004463F3" w:rsidRDefault="00292F35" w:rsidP="00292F35">
      <w:pPr>
        <w:pStyle w:val="ListParagraph"/>
        <w:widowControl w:val="0"/>
        <w:numPr>
          <w:ilvl w:val="0"/>
          <w:numId w:val="11"/>
        </w:numPr>
        <w:snapToGrid w:val="0"/>
      </w:pPr>
      <w:r w:rsidRPr="00292F35">
        <w:t>3GPP TR 38.921 V17.0.0 (2021-03)</w:t>
      </w:r>
      <w:r>
        <w:t xml:space="preserve">, </w:t>
      </w:r>
      <w:r w:rsidRPr="00292F35">
        <w:t>Study on International Mobile Telecommunications (IMT) parameters for 6.425-7.025GHz, 7.025-7.125GHz and 10.0-10.5 GHz</w:t>
      </w:r>
      <w:r>
        <w:t>.</w:t>
      </w:r>
    </w:p>
    <w:sectPr w:rsidR="00292F35" w:rsidRPr="004463F3"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16AC1C" w14:textId="77777777" w:rsidR="00A14D29" w:rsidRDefault="00A14D29">
      <w:r>
        <w:separator/>
      </w:r>
    </w:p>
  </w:endnote>
  <w:endnote w:type="continuationSeparator" w:id="0">
    <w:p w14:paraId="01D5EF0A" w14:textId="77777777" w:rsidR="00A14D29" w:rsidRDefault="00A14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7A7E08" w:rsidRDefault="007A7E0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D49569" w14:textId="77777777" w:rsidR="00A14D29" w:rsidRDefault="00A14D29">
      <w:r>
        <w:separator/>
      </w:r>
    </w:p>
  </w:footnote>
  <w:footnote w:type="continuationSeparator" w:id="0">
    <w:p w14:paraId="0D5D4A8F" w14:textId="77777777" w:rsidR="00A14D29" w:rsidRDefault="00A14D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F72C0"/>
    <w:multiLevelType w:val="hybridMultilevel"/>
    <w:tmpl w:val="E6D87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2B1B9B"/>
    <w:multiLevelType w:val="hybridMultilevel"/>
    <w:tmpl w:val="745A1B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nsid w:val="1C78531F"/>
    <w:multiLevelType w:val="hybridMultilevel"/>
    <w:tmpl w:val="46989E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D7F48F4"/>
    <w:multiLevelType w:val="hybridMultilevel"/>
    <w:tmpl w:val="077CA0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2A36D79"/>
    <w:multiLevelType w:val="hybridMultilevel"/>
    <w:tmpl w:val="FE84C0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48F3974"/>
    <w:multiLevelType w:val="hybridMultilevel"/>
    <w:tmpl w:val="99FE4E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5433A44"/>
    <w:multiLevelType w:val="hybridMultilevel"/>
    <w:tmpl w:val="25FE0E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5BB4370"/>
    <w:multiLevelType w:val="hybridMultilevel"/>
    <w:tmpl w:val="DD0E0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056668"/>
    <w:multiLevelType w:val="hybridMultilevel"/>
    <w:tmpl w:val="F7D431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4E304088"/>
    <w:multiLevelType w:val="hybridMultilevel"/>
    <w:tmpl w:val="BB9611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06F0919"/>
    <w:multiLevelType w:val="hybridMultilevel"/>
    <w:tmpl w:val="723A73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4EE7CFE"/>
    <w:multiLevelType w:val="hybridMultilevel"/>
    <w:tmpl w:val="DD8ABC58"/>
    <w:lvl w:ilvl="0" w:tplc="E4CAB554">
      <w:start w:val="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B73482"/>
    <w:multiLevelType w:val="hybridMultilevel"/>
    <w:tmpl w:val="87900EB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94"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nsid w:val="5B7429A7"/>
    <w:multiLevelType w:val="hybridMultilevel"/>
    <w:tmpl w:val="6DAE1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F4B5867"/>
    <w:multiLevelType w:val="hybridMultilevel"/>
    <w:tmpl w:val="6450E8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70610712"/>
    <w:multiLevelType w:val="hybridMultilevel"/>
    <w:tmpl w:val="E50CA7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nsid w:val="7BB75C5F"/>
    <w:multiLevelType w:val="hybridMultilevel"/>
    <w:tmpl w:val="E0A22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E247C8E"/>
    <w:multiLevelType w:val="hybridMultilevel"/>
    <w:tmpl w:val="5DD05E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14"/>
  </w:num>
  <w:num w:numId="3">
    <w:abstractNumId w:val="15"/>
  </w:num>
  <w:num w:numId="4">
    <w:abstractNumId w:val="27"/>
  </w:num>
  <w:num w:numId="5">
    <w:abstractNumId w:val="13"/>
  </w:num>
  <w:num w:numId="6">
    <w:abstractNumId w:val="3"/>
  </w:num>
  <w:num w:numId="7">
    <w:abstractNumId w:val="16"/>
  </w:num>
  <w:num w:numId="8">
    <w:abstractNumId w:val="24"/>
  </w:num>
  <w:num w:numId="9">
    <w:abstractNumId w:val="25"/>
  </w:num>
  <w:num w:numId="10">
    <w:abstractNumId w:val="2"/>
  </w:num>
  <w:num w:numId="11">
    <w:abstractNumId w:val="10"/>
  </w:num>
  <w:num w:numId="12">
    <w:abstractNumId w:val="17"/>
  </w:num>
  <w:num w:numId="13">
    <w:abstractNumId w:val="19"/>
  </w:num>
  <w:num w:numId="14">
    <w:abstractNumId w:val="6"/>
  </w:num>
  <w:num w:numId="15">
    <w:abstractNumId w:val="11"/>
  </w:num>
  <w:num w:numId="16">
    <w:abstractNumId w:val="1"/>
  </w:num>
  <w:num w:numId="17">
    <w:abstractNumId w:val="18"/>
  </w:num>
  <w:num w:numId="18">
    <w:abstractNumId w:val="12"/>
  </w:num>
  <w:num w:numId="19">
    <w:abstractNumId w:val="23"/>
  </w:num>
  <w:num w:numId="20">
    <w:abstractNumId w:val="26"/>
  </w:num>
  <w:num w:numId="21">
    <w:abstractNumId w:val="8"/>
  </w:num>
  <w:num w:numId="22">
    <w:abstractNumId w:val="5"/>
  </w:num>
  <w:num w:numId="23">
    <w:abstractNumId w:val="0"/>
  </w:num>
  <w:num w:numId="24">
    <w:abstractNumId w:val="7"/>
  </w:num>
  <w:num w:numId="25">
    <w:abstractNumId w:val="21"/>
  </w:num>
  <w:num w:numId="26">
    <w:abstractNumId w:val="28"/>
  </w:num>
  <w:num w:numId="27">
    <w:abstractNumId w:val="20"/>
  </w:num>
  <w:num w:numId="28">
    <w:abstractNumId w:val="22"/>
  </w:num>
  <w:num w:numId="29">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095"/>
    <w:rsid w:val="000402AB"/>
    <w:rsid w:val="00041137"/>
    <w:rsid w:val="000412FD"/>
    <w:rsid w:val="000413D5"/>
    <w:rsid w:val="00041AF5"/>
    <w:rsid w:val="0004270D"/>
    <w:rsid w:val="00042B92"/>
    <w:rsid w:val="00042CEA"/>
    <w:rsid w:val="00042E11"/>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3E2C"/>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13A3"/>
    <w:rsid w:val="00191B6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D8"/>
    <w:rsid w:val="00326527"/>
    <w:rsid w:val="00326780"/>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9CB"/>
    <w:rsid w:val="00382D5F"/>
    <w:rsid w:val="00382FB9"/>
    <w:rsid w:val="00383469"/>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52D2"/>
    <w:rsid w:val="003C55C1"/>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7C4"/>
    <w:rsid w:val="00417836"/>
    <w:rsid w:val="004201F9"/>
    <w:rsid w:val="0042030F"/>
    <w:rsid w:val="00420322"/>
    <w:rsid w:val="00420442"/>
    <w:rsid w:val="0042092C"/>
    <w:rsid w:val="0042164F"/>
    <w:rsid w:val="00421830"/>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008"/>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60D"/>
    <w:rsid w:val="004A075E"/>
    <w:rsid w:val="004A0793"/>
    <w:rsid w:val="004A08E9"/>
    <w:rsid w:val="004A0A2F"/>
    <w:rsid w:val="004A11BD"/>
    <w:rsid w:val="004A15C6"/>
    <w:rsid w:val="004A21D0"/>
    <w:rsid w:val="004A254E"/>
    <w:rsid w:val="004A2919"/>
    <w:rsid w:val="004A2EB7"/>
    <w:rsid w:val="004A2F73"/>
    <w:rsid w:val="004A3533"/>
    <w:rsid w:val="004A3883"/>
    <w:rsid w:val="004A4F3B"/>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7E8"/>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A9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B64"/>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217"/>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9C5"/>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3CA"/>
    <w:rsid w:val="008314E4"/>
    <w:rsid w:val="00831A1E"/>
    <w:rsid w:val="00831A43"/>
    <w:rsid w:val="00831E21"/>
    <w:rsid w:val="00832BDE"/>
    <w:rsid w:val="00832ED2"/>
    <w:rsid w:val="00833735"/>
    <w:rsid w:val="008337EE"/>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764F"/>
    <w:rsid w:val="009177C4"/>
    <w:rsid w:val="00920014"/>
    <w:rsid w:val="009206AC"/>
    <w:rsid w:val="009207B4"/>
    <w:rsid w:val="00920B9B"/>
    <w:rsid w:val="0092144F"/>
    <w:rsid w:val="00921DE6"/>
    <w:rsid w:val="009224C7"/>
    <w:rsid w:val="00922885"/>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107"/>
    <w:rsid w:val="0094072C"/>
    <w:rsid w:val="00940FBD"/>
    <w:rsid w:val="009427EC"/>
    <w:rsid w:val="00942FDD"/>
    <w:rsid w:val="009432DB"/>
    <w:rsid w:val="009435E6"/>
    <w:rsid w:val="0094382A"/>
    <w:rsid w:val="00944791"/>
    <w:rsid w:val="00945CFA"/>
    <w:rsid w:val="00945E23"/>
    <w:rsid w:val="00945E3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4D29"/>
    <w:rsid w:val="00A15412"/>
    <w:rsid w:val="00A15C56"/>
    <w:rsid w:val="00A15C99"/>
    <w:rsid w:val="00A16066"/>
    <w:rsid w:val="00A161D9"/>
    <w:rsid w:val="00A163B8"/>
    <w:rsid w:val="00A164C0"/>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579"/>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62EF"/>
    <w:rsid w:val="00A56490"/>
    <w:rsid w:val="00A56CDF"/>
    <w:rsid w:val="00A603D6"/>
    <w:rsid w:val="00A612A5"/>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4A6"/>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770"/>
    <w:rsid w:val="00C45A95"/>
    <w:rsid w:val="00C46280"/>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FC3"/>
    <w:rsid w:val="00C918DD"/>
    <w:rsid w:val="00C91AEF"/>
    <w:rsid w:val="00C91DB5"/>
    <w:rsid w:val="00C9251A"/>
    <w:rsid w:val="00C931B5"/>
    <w:rsid w:val="00C933DC"/>
    <w:rsid w:val="00C9345F"/>
    <w:rsid w:val="00C936F9"/>
    <w:rsid w:val="00C94088"/>
    <w:rsid w:val="00C94BF2"/>
    <w:rsid w:val="00C950EA"/>
    <w:rsid w:val="00C9533C"/>
    <w:rsid w:val="00C9560D"/>
    <w:rsid w:val="00C95844"/>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F2D"/>
    <w:rsid w:val="00D214BF"/>
    <w:rsid w:val="00D217F6"/>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B4"/>
    <w:rsid w:val="00D31AEA"/>
    <w:rsid w:val="00D32147"/>
    <w:rsid w:val="00D328AB"/>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F0A"/>
    <w:rsid w:val="00D47F07"/>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7D8"/>
    <w:rsid w:val="00DD0023"/>
    <w:rsid w:val="00DD0712"/>
    <w:rsid w:val="00DD0CE1"/>
    <w:rsid w:val="00DD0EEE"/>
    <w:rsid w:val="00DD11F4"/>
    <w:rsid w:val="00DD16EF"/>
    <w:rsid w:val="00DD1CD6"/>
    <w:rsid w:val="00DD1CFB"/>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D8"/>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3F41"/>
    <w:rsid w:val="00E74147"/>
    <w:rsid w:val="00E74DAD"/>
    <w:rsid w:val="00E75179"/>
    <w:rsid w:val="00E75441"/>
    <w:rsid w:val="00E75727"/>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FD3"/>
    <w:rsid w:val="00E873CC"/>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2410"/>
    <w:rsid w:val="00F027FD"/>
    <w:rsid w:val="00F03238"/>
    <w:rsid w:val="00F03B76"/>
    <w:rsid w:val="00F03CAF"/>
    <w:rsid w:val="00F03D26"/>
    <w:rsid w:val="00F040E7"/>
    <w:rsid w:val="00F048B7"/>
    <w:rsid w:val="00F04BD1"/>
    <w:rsid w:val="00F05069"/>
    <w:rsid w:val="00F05C73"/>
    <w:rsid w:val="00F05E71"/>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013"/>
    <w:rsid w:val="00F733ED"/>
    <w:rsid w:val="00F735FD"/>
    <w:rsid w:val="00F73956"/>
    <w:rsid w:val="00F73BD3"/>
    <w:rsid w:val="00F74B3A"/>
    <w:rsid w:val="00F7579F"/>
    <w:rsid w:val="00F75910"/>
    <w:rsid w:val="00F76462"/>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60E8"/>
    <w:rsid w:val="00FD63F9"/>
    <w:rsid w:val="00FD65C6"/>
    <w:rsid w:val="00FD69E7"/>
    <w:rsid w:val="00FD6FDE"/>
    <w:rsid w:val="00FD72F3"/>
    <w:rsid w:val="00FD760B"/>
    <w:rsid w:val="00FD7F4D"/>
    <w:rsid w:val="00FE11A1"/>
    <w:rsid w:val="00FE1C36"/>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5474071">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1209533911">
          <w:marLeft w:val="360"/>
          <w:marRight w:val="0"/>
          <w:marTop w:val="2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930163114">
          <w:marLeft w:val="1080"/>
          <w:marRight w:val="0"/>
          <w:marTop w:val="1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6479023">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68275287">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966540273">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48795018">
          <w:marLeft w:val="360"/>
          <w:marRight w:val="0"/>
          <w:marTop w:val="12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387188349">
          <w:marLeft w:val="360"/>
          <w:marRight w:val="0"/>
          <w:marTop w:val="20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6568238">
          <w:marLeft w:val="1080"/>
          <w:marRight w:val="0"/>
          <w:marTop w:val="12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15108491">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6C29AD-072D-4E9E-8F7C-F15DF27F9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Pages>
  <Words>866</Words>
  <Characters>4938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5793</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2</cp:revision>
  <cp:lastPrinted>2010-01-07T15:23:00Z</cp:lastPrinted>
  <dcterms:created xsi:type="dcterms:W3CDTF">2022-02-11T20:34:00Z</dcterms:created>
  <dcterms:modified xsi:type="dcterms:W3CDTF">2022-02-11T20:34:00Z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